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298787969"/>
    <w:bookmarkStart w:id="1" w:name="_Toc298788158"/>
    <w:bookmarkStart w:id="2" w:name="_Toc298788641"/>
    <w:bookmarkStart w:id="3" w:name="_Toc305686691"/>
    <w:bookmarkStart w:id="4" w:name="_Toc306350093"/>
    <w:bookmarkStart w:id="5" w:name="_Toc306350113"/>
    <w:bookmarkStart w:id="6" w:name="_Toc331517265"/>
    <w:bookmarkStart w:id="7" w:name="_Toc245891774"/>
    <w:bookmarkStart w:id="8" w:name="_Toc238803087"/>
    <w:bookmarkStart w:id="9" w:name="_Toc238803888"/>
    <w:p w14:paraId="4677B081" w14:textId="77777777" w:rsidR="00942645" w:rsidRPr="00CA7700" w:rsidRDefault="00942645" w:rsidP="00942645">
      <w:pPr>
        <w:pStyle w:val="Titlelevel2"/>
        <w:spacing w:before="120" w:after="120"/>
        <w:jc w:val="center"/>
        <w:rPr>
          <w:rFonts w:ascii="Times New Roman" w:hAnsi="Times New Roman" w:cs="Times New Roman"/>
          <w:b/>
          <w:color w:val="auto"/>
          <w:sz w:val="24"/>
          <w:u w:val="single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5F219D8" wp14:editId="23D65181">
                <wp:simplePos x="0" y="0"/>
                <wp:positionH relativeFrom="page">
                  <wp:posOffset>156210</wp:posOffset>
                </wp:positionH>
                <wp:positionV relativeFrom="page">
                  <wp:posOffset>39370</wp:posOffset>
                </wp:positionV>
                <wp:extent cx="443865" cy="443865"/>
                <wp:effectExtent l="0" t="0" r="3175" b="4445"/>
                <wp:wrapNone/>
                <wp:docPr id="3" name="Text Box 3" descr="EBA Regular Use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hd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281343" w14:textId="77777777" w:rsidR="00942645" w:rsidRPr="00F07F97" w:rsidRDefault="00942645" w:rsidP="00942645">
                            <w:pPr>
                              <w:rPr>
                                <w:rFonts w:ascii="Calibri" w:eastAsia="Calibri" w:hAnsi="Calibri" w:cs="Calibri"/>
                                <w:noProof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4"/>
                              </w:rPr>
                              <w:t>EBA Regular 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F219D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alt="Title:  - Description: EBA Regular Use" style="position:absolute;left:0;text-align:left;margin-left:12.3pt;margin-top:3.1pt;width:34.95pt;height:34.95pt;z-index:2516592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" filled="f" stroked="f">
                <v:textbox style="mso-fit-shape-to-text:t" inset="20pt,15pt,0,0">
                  <w:txbxContent>
                    <w:p w14:paraId="32281343" w14:textId="77777777" w:rsidR="00942645" w:rsidRPr="00F07F97" w:rsidRDefault="00942645" w:rsidP="00942645">
                      <w:pPr>
                        <w:rPr>
                          <w:noProof/>
                          <w:color w:val="000000"/>
                          <w:sz w:val="24"/>
                          <w:rFonts w:ascii="Calibri" w:eastAsia="Calibri" w:hAnsi="Calibri" w:cs="Calibri"/>
                        </w:rPr>
                      </w:pPr>
                      <w:r>
                        <w:rPr>
                          <w:color w:val="000000"/>
                          <w:sz w:val="24"/>
                          <w:rFonts w:ascii="Calibri" w:hAnsi="Calibri"/>
                        </w:rPr>
                        <w:t xml:space="preserve">EBA Regular Use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/>
          <w:b/>
          <w:color w:val="auto"/>
          <w:sz w:val="24"/>
          <w:u w:val="single"/>
        </w:rPr>
        <w:t>PRILOG XLII. – Tablice i obrasci za objavu rizika prilagodbe kreditnom vrednovanju: upute</w:t>
      </w:r>
    </w:p>
    <w:p w14:paraId="78BB236B" w14:textId="33A761EE" w:rsidR="00942645" w:rsidRPr="00CA7700" w:rsidRDefault="00942645" w:rsidP="00942645">
      <w:pPr>
        <w:pStyle w:val="Titlelevel2"/>
        <w:numPr>
          <w:ilvl w:val="0"/>
          <w:numId w:val="11"/>
        </w:numPr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Ovaj Prilog sadržava upute koje institucije primjenjuju pri objavi informacija o svojoj izloženosti riziku prilagodbe kreditnom vrednovanju iz dijela trećeg glave VI. Uredbe (EU) br. 575/2013 („CRR”)</w:t>
      </w:r>
      <w:r>
        <w:rPr>
          <w:rStyle w:val="FootnoteReference"/>
          <w:rFonts w:ascii="Times New Roman" w:hAnsi="Times New Roman" w:cs="Times New Roman"/>
          <w:color w:val="auto"/>
          <w:sz w:val="24"/>
          <w:szCs w:val="24"/>
        </w:rPr>
        <w:footnoteReference w:id="2"/>
      </w:r>
      <w:r>
        <w:rPr>
          <w:rFonts w:ascii="Times New Roman" w:hAnsi="Times New Roman"/>
          <w:color w:val="auto"/>
          <w:sz w:val="24"/>
        </w:rPr>
        <w:t xml:space="preserve"> u tablicama i obrascima za objavu CVA rizika kako je navedeno u Prilogu XLI. IT rješenjima EBA-e, u skladu s člankom 445.a Uredbe (EU) br. 575/2013. </w:t>
      </w:r>
    </w:p>
    <w:p w14:paraId="3E4AC8EA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</w:p>
    <w:p w14:paraId="560A9B63" w14:textId="77777777" w:rsidR="00942645" w:rsidRPr="00CA7700" w:rsidRDefault="00942645" w:rsidP="00942645">
      <w:pPr>
        <w:pStyle w:val="Titlelevel2"/>
        <w:spacing w:before="120" w:after="120"/>
        <w:rPr>
          <w:rFonts w:ascii="Times New Roman" w:eastAsiaTheme="minorEastAsia" w:hAnsi="Times New Roman" w:cs="Times New Roman"/>
          <w:bCs w:val="0"/>
          <w:noProof/>
          <w:color w:val="000000"/>
          <w:sz w:val="24"/>
        </w:rPr>
      </w:pPr>
      <w:r>
        <w:rPr>
          <w:rFonts w:ascii="Times New Roman" w:hAnsi="Times New Roman"/>
          <w:b/>
          <w:color w:val="auto"/>
          <w:sz w:val="24"/>
        </w:rPr>
        <w:t>Tablica EU CVAA: Zahtjevi za objavu kvalitativnih informacija o riziku prilagodbe kreditnom vrednovanju.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Polja za slobodni unos teksta. </w:t>
      </w:r>
    </w:p>
    <w:p w14:paraId="6FF811C2" w14:textId="4AAED15E" w:rsidR="00942645" w:rsidRPr="00CA7700" w:rsidRDefault="00942645" w:rsidP="00942645">
      <w:pPr>
        <w:pStyle w:val="Titlelevel2"/>
        <w:numPr>
          <w:ilvl w:val="0"/>
          <w:numId w:val="11"/>
        </w:numPr>
        <w:spacing w:before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color w:val="auto"/>
          <w:sz w:val="24"/>
        </w:rPr>
        <w:t>Institucije primjenjuju upute u nastavku pri ispunjavanju</w:t>
      </w:r>
      <w:r>
        <w:rPr>
          <w:rFonts w:ascii="Times New Roman" w:hAnsi="Times New Roman"/>
          <w:color w:val="000000" w:themeColor="text1"/>
          <w:sz w:val="24"/>
        </w:rPr>
        <w:t xml:space="preserve"> tablice EU CVAA kako je navedeno u Prilogu XLI. IT rješenjima, u skladu s člankom 445.a stavkom 1. točkama (a) i (b)</w:t>
      </w:r>
      <w:r>
        <w:rPr>
          <w:rFonts w:ascii="Times New Roman" w:hAnsi="Times New Roman"/>
          <w:color w:val="auto"/>
          <w:sz w:val="24"/>
        </w:rPr>
        <w:t xml:space="preserve"> Uredbe (EU) br. 575/2013</w:t>
      </w:r>
      <w:r>
        <w:rPr>
          <w:rFonts w:ascii="Times New Roman" w:hAnsi="Times New Roman"/>
          <w:color w:val="000000" w:themeColor="text1"/>
          <w:sz w:val="24"/>
        </w:rPr>
        <w:t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73F25907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CE35CA" w14:textId="77777777" w:rsidR="00942645" w:rsidRPr="00CA7700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942645" w:rsidRPr="00CA7700" w14:paraId="337850FE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34E48CC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retka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D4B7946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942645" w:rsidRPr="00CA7700" w14:paraId="3BC35DB9" w14:textId="77777777" w:rsidTr="00962254">
        <w:trPr>
          <w:trHeight w:val="680"/>
        </w:trPr>
        <w:tc>
          <w:tcPr>
            <w:tcW w:w="1384" w:type="dxa"/>
          </w:tcPr>
          <w:p w14:paraId="29C7DC98" w14:textId="77777777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>(a)</w:t>
            </w:r>
          </w:p>
        </w:tc>
        <w:tc>
          <w:tcPr>
            <w:tcW w:w="7655" w:type="dxa"/>
            <w:vAlign w:val="center"/>
          </w:tcPr>
          <w:p w14:paraId="43DE697C" w14:textId="09014830" w:rsidR="0096186C" w:rsidRPr="00212EDF" w:rsidRDefault="0096186C" w:rsidP="0096225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Članak 445.a stavak 1. točka (a) CRR-a</w:t>
            </w:r>
          </w:p>
          <w:p w14:paraId="73666F29" w14:textId="497C6292" w:rsidR="00942645" w:rsidRPr="00CA7700" w:rsidRDefault="00942645" w:rsidP="0096225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Pri objavi informacija propisanih člankom 445.a stavkom 1. točkom (a) Uredbe (EU) br. 575/2013 institucije moraju dati opis primijenjenih procesa za upravljanje rizikom prilagodbe kreditnom vrednovanju, među ostalim opis primijenjenih procesa identifikacije, mjerenja, praćenja i kontrole institucijinih rizika prilagodbe kreditnom vrednovanju i opis njihovih politika zaštite od rizika i smanjenja rizika te strategije i postupke za praćenje stalne učinkovitosti zaštite od rizika</w:t>
            </w:r>
          </w:p>
        </w:tc>
      </w:tr>
      <w:tr w:rsidR="00942645" w:rsidRPr="00CA7700" w14:paraId="44C53E9B" w14:textId="77777777" w:rsidTr="00962254">
        <w:trPr>
          <w:trHeight w:val="680"/>
        </w:trPr>
        <w:tc>
          <w:tcPr>
            <w:tcW w:w="1384" w:type="dxa"/>
          </w:tcPr>
          <w:p w14:paraId="50EF565A" w14:textId="77777777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>(b)</w:t>
            </w:r>
          </w:p>
        </w:tc>
        <w:tc>
          <w:tcPr>
            <w:tcW w:w="7655" w:type="dxa"/>
          </w:tcPr>
          <w:p w14:paraId="14FA373F" w14:textId="1A83FE77" w:rsidR="0096186C" w:rsidRPr="00212EDF" w:rsidRDefault="0096186C" w:rsidP="0096225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Članak 445.a stavak 1. točka (b) CRR-a</w:t>
            </w:r>
          </w:p>
          <w:p w14:paraId="08D093DD" w14:textId="666A3EDB" w:rsidR="00942645" w:rsidRPr="00CA7700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Pri objavi informacija propisanih člankom 445.a stavkom 1. točkom (a) Uredbe (EU) br. 575/2013 institucije moraju objasniti ispunjavaju li uvjete iz članka 273.a stavka 2. Uredbe (EU) br. 575/2013 i ako su ti uvjeti ispunjeni, je li institucija odlučila kapitalne zahtjeve za CVA rizik izračunavati primjenom pojednostavnjenog pristupa iz članka 385. Uredbe (EU) br. 575/2013; ako je institucija odlučila kapitalne zahtjeve za CVA rizik izračunavati primjenom pojednostavnjenog pristupa, objavljuje kapitalne zahtjeve za CVA rizik u skladu s tim pristupom. </w:t>
            </w:r>
          </w:p>
        </w:tc>
      </w:tr>
    </w:tbl>
    <w:p w14:paraId="5DFF986C" w14:textId="77777777" w:rsidR="00942645" w:rsidRPr="0062111F" w:rsidRDefault="00942645" w:rsidP="00942645">
      <w:pPr>
        <w:pStyle w:val="Titlelevel2"/>
        <w:spacing w:before="120" w:after="120"/>
        <w:rPr>
          <w:rFonts w:ascii="Times New Roman" w:eastAsia="Times New Roman" w:hAnsi="Times New Roman" w:cs="Times New Roman"/>
          <w:bCs w:val="0"/>
          <w:color w:val="auto"/>
          <w:sz w:val="24"/>
        </w:rPr>
      </w:pPr>
    </w:p>
    <w:p w14:paraId="31875874" w14:textId="54D7739A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Obrazac EU CVA 1 – Rizik prilagodbe kreditnom vrednovanju u skladu sa smanjenim osnovnim pristupom (R-BA). </w:t>
      </w:r>
      <w:r>
        <w:rPr>
          <w:rFonts w:ascii="Times New Roman" w:hAnsi="Times New Roman"/>
          <w:color w:val="auto"/>
          <w:sz w:val="24"/>
        </w:rPr>
        <w:t>Fiksni unos.</w:t>
      </w:r>
    </w:p>
    <w:p w14:paraId="30591F3A" w14:textId="450864D5" w:rsidR="00942645" w:rsidRPr="00CA7700" w:rsidRDefault="00942645" w:rsidP="00942645">
      <w:pPr>
        <w:pStyle w:val="Titlelevel2"/>
        <w:numPr>
          <w:ilvl w:val="0"/>
          <w:numId w:val="1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noProof/>
          <w:color w:val="000000"/>
          <w:sz w:val="24"/>
        </w:rPr>
      </w:pPr>
      <w:r w:rsidRPr="0062111F">
        <w:rPr>
          <w:rFonts w:ascii="Times New Roman" w:hAnsi="Times New Roman"/>
          <w:color w:val="auto"/>
          <w:sz w:val="24"/>
        </w:rPr>
        <w:t xml:space="preserve">Institucije primjenjuju upute u nastavku pri ispunjavanju tablice </w:t>
      </w:r>
      <w:r>
        <w:rPr>
          <w:rFonts w:ascii="Times New Roman" w:hAnsi="Times New Roman"/>
          <w:color w:val="000000"/>
          <w:sz w:val="24"/>
        </w:rPr>
        <w:t xml:space="preserve">EU CVA1 kako je navedeno u Prilogu XLI. IT rješenjima, u skladu s člankom 445.a stavkom 3. točkom (a) </w:t>
      </w:r>
      <w:r>
        <w:rPr>
          <w:rFonts w:ascii="Times New Roman" w:hAnsi="Times New Roman"/>
          <w:color w:val="auto"/>
          <w:sz w:val="24"/>
        </w:rPr>
        <w:t xml:space="preserve"> Uredbe (EU) br. 575/2013</w:t>
      </w:r>
      <w:r>
        <w:rPr>
          <w:rFonts w:ascii="Times New Roman" w:hAnsi="Times New Roman"/>
          <w:color w:val="000000"/>
          <w:sz w:val="24"/>
        </w:rPr>
        <w:t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0453183D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0FB9AD" w14:textId="77777777" w:rsidR="00942645" w:rsidRPr="00CA7700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942645" w:rsidRPr="00CA7700" w14:paraId="5B11034B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2D58F57" w14:textId="77777777" w:rsidR="00942645" w:rsidRPr="00CA7700" w:rsidRDefault="00942645" w:rsidP="009622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retka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5E8B267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942645" w:rsidRPr="00CA7700" w14:paraId="2FEBD55E" w14:textId="77777777" w:rsidTr="00962254">
        <w:trPr>
          <w:trHeight w:val="680"/>
        </w:trPr>
        <w:tc>
          <w:tcPr>
            <w:tcW w:w="1384" w:type="dxa"/>
          </w:tcPr>
          <w:p w14:paraId="36B837FA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1</w:t>
            </w:r>
          </w:p>
        </w:tc>
        <w:tc>
          <w:tcPr>
            <w:tcW w:w="7655" w:type="dxa"/>
          </w:tcPr>
          <w:p w14:paraId="54484298" w14:textId="77777777" w:rsidR="00942645" w:rsidRPr="00212EDF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Agregiranje sistemskih komponenti CVA rizika </w:t>
            </w:r>
          </w:p>
          <w:p w14:paraId="732F93B6" w14:textId="4D694000" w:rsidR="00942645" w:rsidRPr="00CA7700" w:rsidRDefault="00942645" w:rsidP="0096225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Članak 384. stavak 3. Uredbe (EU) br. 575/2013 Komponente kapitalnih zahtjeva na temelju pretpostavke potpune korelacije (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vertAlign w:val="subscript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vertAlign w:val="subscript"/>
                    </w:rPr>
                    <m:t>c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vertAlign w:val="subscript"/>
                        </w:rPr>
                        <m:t>SCVA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vertAlign w:val="subscript"/>
                        </w:rPr>
                        <m:t>c</m:t>
                      </m:r>
                    </m:sub>
                  </m:sSub>
                </m:e>
              </m:nary>
            </m:oMath>
            <w:r>
              <w:rPr>
                <w:rFonts w:ascii="Times New Roman" w:hAnsi="Times New Roman"/>
                <w:sz w:val="24"/>
                <w:vertAlign w:val="subscript"/>
              </w:rPr>
              <w:t xml:space="preserve">). </w:t>
            </w:r>
            <w:r>
              <w:rPr>
                <w:rFonts w:ascii="Times New Roman" w:hAnsi="Times New Roman"/>
                <w:sz w:val="24"/>
              </w:rPr>
              <w:t>Ne primjenjuje se diskontni faktor od 0,65.</w:t>
            </w:r>
          </w:p>
          <w:p w14:paraId="0342ACCD" w14:textId="77777777" w:rsidR="00942645" w:rsidRPr="00CA7700" w:rsidRDefault="00942645" w:rsidP="00962254">
            <w:pPr>
              <w:rPr>
                <w:rFonts w:ascii="Times New Roman" w:hAnsi="Times New Roman" w:cs="Times New Roman"/>
                <w:sz w:val="24"/>
                <w:lang w:val="en-GB"/>
              </w:rPr>
            </w:pPr>
          </w:p>
        </w:tc>
      </w:tr>
      <w:tr w:rsidR="00942645" w:rsidRPr="00CA7700" w14:paraId="3CBFCA02" w14:textId="77777777" w:rsidTr="00962254">
        <w:trPr>
          <w:trHeight w:val="680"/>
        </w:trPr>
        <w:tc>
          <w:tcPr>
            <w:tcW w:w="1384" w:type="dxa"/>
          </w:tcPr>
          <w:p w14:paraId="05654707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2</w:t>
            </w:r>
          </w:p>
        </w:tc>
        <w:tc>
          <w:tcPr>
            <w:tcW w:w="7655" w:type="dxa"/>
          </w:tcPr>
          <w:p w14:paraId="196293CA" w14:textId="77777777" w:rsidR="00942645" w:rsidRPr="00212EDF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Agregiranje idiosinkratskih komponenti CVA rizika </w:t>
            </w:r>
          </w:p>
          <w:p w14:paraId="75CC615B" w14:textId="674604A6" w:rsidR="00942645" w:rsidRPr="00CA7700" w:rsidRDefault="00942645" w:rsidP="0096225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Članak 384. stavak 3. Uredbe (EU) br. 575/2013 Komponente kapitalnih zahtjeva na temelju pretpostavke nulte korelacije (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vertAlign w:val="subscript"/>
                    </w:rPr>
                  </m:ctrlPr>
                </m:radPr>
                <m:deg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4"/>
                          <w:vertAlign w:val="subscript"/>
                        </w:rPr>
                        <m:t>c</m:t>
                      </m:r>
                    </m:sub>
                    <m:sup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vertAlign w:val="subscript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vertAlign w:val="subscript"/>
                                </w:rPr>
                                <m:t>SCVA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vertAlign w:val="subscript"/>
                                </w:rPr>
                                <m:t>c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vertAlign w:val="subscript"/>
                            </w:rPr>
                            <m:t>2</m:t>
                          </m:r>
                        </m:sup>
                      </m:sSup>
                    </m:e>
                  </m:nary>
                </m:e>
              </m:rad>
            </m:oMath>
            <w:r>
              <w:rPr>
                <w:rFonts w:ascii="Times New Roman" w:hAnsi="Times New Roman"/>
                <w:sz w:val="24"/>
              </w:rPr>
              <w:t>).</w:t>
            </w:r>
            <w:r>
              <w:t>.</w:t>
            </w:r>
            <w:r>
              <w:rPr>
                <w:rFonts w:ascii="Times New Roman" w:hAnsi="Times New Roman"/>
                <w:sz w:val="24"/>
              </w:rPr>
              <w:t xml:space="preserve"> Ne primjenjuje se diskontni faktor od 0,65.</w:t>
            </w:r>
          </w:p>
        </w:tc>
      </w:tr>
      <w:tr w:rsidR="00942645" w:rsidRPr="00CA7700" w14:paraId="34141E36" w14:textId="77777777" w:rsidTr="00962254">
        <w:trPr>
          <w:trHeight w:val="680"/>
        </w:trPr>
        <w:tc>
          <w:tcPr>
            <w:tcW w:w="1384" w:type="dxa"/>
          </w:tcPr>
          <w:p w14:paraId="24B58293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3</w:t>
            </w:r>
          </w:p>
        </w:tc>
        <w:tc>
          <w:tcPr>
            <w:tcW w:w="7655" w:type="dxa"/>
          </w:tcPr>
          <w:p w14:paraId="625EFEB1" w14:textId="77777777" w:rsidR="00942645" w:rsidRPr="00212EDF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 xml:space="preserve">Ukupno </w:t>
            </w:r>
          </w:p>
          <w:p w14:paraId="715DBC77" w14:textId="042D3A66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/>
              </w:rPr>
              <w:t>Kapitalni zahtjevi za CVA rizik u skladu sa smanjenim osnovnim pristupom Iznos jednak iznosu objavljenom u obrascu EU OV1 stupcu (c) retku EU 10b ako institucija primjenjuje smanjeni BA-CVA.</w:t>
            </w:r>
          </w:p>
        </w:tc>
      </w:tr>
      <w:tr w:rsidR="00942645" w:rsidRPr="00CA7700" w14:paraId="495C220D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D7D69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  <w:rPr>
                <w:b/>
              </w:rPr>
            </w:pPr>
            <w:r>
              <w:rPr>
                <w:b/>
              </w:rPr>
              <w:t>Slovna oznaka stupca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4EF6BB" w14:textId="77777777" w:rsidR="00942645" w:rsidRPr="00CA7700" w:rsidRDefault="00942645" w:rsidP="00962254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942645" w:rsidRPr="00CA7700" w14:paraId="2D500ECF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32D74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3A817" w14:textId="77777777" w:rsidR="00942645" w:rsidRPr="00212EDF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Komponente kapitalnih zahtjeva</w:t>
            </w:r>
          </w:p>
          <w:p w14:paraId="01943208" w14:textId="2AB15DE7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Komponente kapitalnih zahtjeva u skladu s člankom 384. stavkom 3. Uredbe (EU) br. 575/2013 za instituciju koja ispunjava uvjete iz članka 384. stavka 1. točke (b) Uredbe (EU) br. 575/2013.</w:t>
            </w:r>
          </w:p>
        </w:tc>
      </w:tr>
    </w:tbl>
    <w:p w14:paraId="7354F3FD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1D211F9F" w14:textId="47105C95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Obrazac EU CVA2 – Rizik prilagodbe kreditnom vrednovanju u skladu s punim osnovnim pristupom (F-BA). </w:t>
      </w:r>
      <w:r>
        <w:rPr>
          <w:rFonts w:ascii="Times New Roman" w:hAnsi="Times New Roman"/>
          <w:color w:val="auto"/>
          <w:sz w:val="24"/>
        </w:rPr>
        <w:t>Fiksni unos.</w:t>
      </w:r>
    </w:p>
    <w:p w14:paraId="1AC6C572" w14:textId="77777777" w:rsidR="00942645" w:rsidRPr="00CA7700" w:rsidRDefault="00942645" w:rsidP="00942645">
      <w:pPr>
        <w:pStyle w:val="Titlelevel2"/>
        <w:numPr>
          <w:ilvl w:val="0"/>
          <w:numId w:val="1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noProof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Institucije primjenjuju upute u nastavku ovog Priloga pri ispunjavanju tablice EU CVA2 kako je navedeno u Prilogu XLI., u skladu s člankom 445.a stavkom 3. točkama (a) i (b) </w:t>
      </w:r>
      <w:r>
        <w:rPr>
          <w:rFonts w:ascii="Times New Roman" w:hAnsi="Times New Roman"/>
          <w:color w:val="auto"/>
          <w:sz w:val="24"/>
        </w:rPr>
        <w:t xml:space="preserve"> Uredbe (EU) br. 575/2013</w:t>
      </w:r>
      <w:r>
        <w:rPr>
          <w:rFonts w:ascii="Times New Roman" w:hAnsi="Times New Roman"/>
          <w:color w:val="000000"/>
          <w:sz w:val="24"/>
        </w:rPr>
        <w:t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2220E6C5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1601C" w14:textId="77777777" w:rsidR="00942645" w:rsidRPr="00CA7700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942645" w:rsidRPr="00CA7700" w14:paraId="7CCF4176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341C9D0" w14:textId="77777777" w:rsidR="00942645" w:rsidRPr="00CA7700" w:rsidRDefault="00942645" w:rsidP="009622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retka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DE81DE1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942645" w:rsidRPr="00CA7700" w14:paraId="3A8E3855" w14:textId="77777777" w:rsidTr="00962254">
        <w:trPr>
          <w:trHeight w:val="680"/>
        </w:trPr>
        <w:tc>
          <w:tcPr>
            <w:tcW w:w="1384" w:type="dxa"/>
          </w:tcPr>
          <w:p w14:paraId="360F4E78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1</w:t>
            </w:r>
          </w:p>
        </w:tc>
        <w:tc>
          <w:tcPr>
            <w:tcW w:w="7655" w:type="dxa"/>
          </w:tcPr>
          <w:p w14:paraId="04421C27" w14:textId="77777777" w:rsidR="00942645" w:rsidRPr="00212EDF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BACVA 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csr-unhedged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773EAD60" w14:textId="5EA45F2D" w:rsidR="00942645" w:rsidRPr="00CA7700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Komponenta kapitalnih zahtjeva u skladu s člankom 384. stavkom 3. za instituciju koja ispunjava uvjete iz članka 384. stavka 1. točke (b) Uredbe (EU) br. 575/2013. </w:t>
            </w:r>
          </w:p>
        </w:tc>
      </w:tr>
      <w:tr w:rsidR="00942645" w:rsidRPr="00CA7700" w14:paraId="4D01A6DA" w14:textId="77777777" w:rsidTr="00962254">
        <w:trPr>
          <w:trHeight w:val="680"/>
        </w:trPr>
        <w:tc>
          <w:tcPr>
            <w:tcW w:w="1384" w:type="dxa"/>
          </w:tcPr>
          <w:p w14:paraId="7D13E37A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2</w:t>
            </w:r>
          </w:p>
        </w:tc>
        <w:tc>
          <w:tcPr>
            <w:tcW w:w="7655" w:type="dxa"/>
          </w:tcPr>
          <w:p w14:paraId="7F0AADE9" w14:textId="77777777" w:rsidR="00942645" w:rsidRPr="00212EDF" w:rsidRDefault="00942645" w:rsidP="00962254">
            <w:pPr>
              <w:pStyle w:val="TableMainHeading"/>
              <w:spacing w:before="60" w:after="6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BACVA 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csr-hedged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57BEC7BE" w14:textId="56260E01" w:rsidR="00942645" w:rsidRPr="00CA7700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Komponenta kapitalnih zahtjeva u skladu s člankom 384. stavkom 2. za instituciju koja ispunjava uvjete iz članka 384. stavka 1. točke (a) Uredbe (EU) br. 575/2013.</w:t>
            </w:r>
          </w:p>
        </w:tc>
      </w:tr>
      <w:tr w:rsidR="00942645" w:rsidRPr="00CA7700" w14:paraId="22AF0F68" w14:textId="77777777" w:rsidTr="00962254">
        <w:trPr>
          <w:trHeight w:val="680"/>
        </w:trPr>
        <w:tc>
          <w:tcPr>
            <w:tcW w:w="1384" w:type="dxa"/>
          </w:tcPr>
          <w:p w14:paraId="536AE97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3</w:t>
            </w:r>
          </w:p>
        </w:tc>
        <w:tc>
          <w:tcPr>
            <w:tcW w:w="7655" w:type="dxa"/>
          </w:tcPr>
          <w:p w14:paraId="478A4B46" w14:textId="77777777" w:rsidR="00942645" w:rsidRPr="00212EDF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 xml:space="preserve">Ukupno </w:t>
            </w:r>
          </w:p>
          <w:p w14:paraId="1F769140" w14:textId="5695C89E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</w:rPr>
              <w:t>Kapitalni zahtjevi za transakcije na koje se primjenjuje puni osnovni pristup izračunat u skladu s člankom 384. stavkom 2., za instituciju koja ispunjava uvjet iz članka 384. stavka 1. točke (a) Uredbe (EU) br. 575/2013. Iznos jednak iznosu objavljenom u obrascu EU OV1 stupcu (c) retku EU 10b ako institucija primjenjuje potpuni BA-CVA.</w:t>
            </w:r>
          </w:p>
        </w:tc>
      </w:tr>
      <w:tr w:rsidR="00942645" w:rsidRPr="00CA7700" w14:paraId="49A23C27" w14:textId="77777777" w:rsidTr="00962254">
        <w:trPr>
          <w:trHeight w:val="680"/>
        </w:trPr>
        <w:tc>
          <w:tcPr>
            <w:tcW w:w="1384" w:type="dxa"/>
          </w:tcPr>
          <w:p w14:paraId="30EEC36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EU 4 – EU 6</w:t>
            </w:r>
          </w:p>
        </w:tc>
        <w:tc>
          <w:tcPr>
            <w:tcW w:w="7655" w:type="dxa"/>
          </w:tcPr>
          <w:p w14:paraId="52CA155D" w14:textId="77777777" w:rsidR="00942645" w:rsidRPr="00212EDF" w:rsidRDefault="00942645" w:rsidP="00962254">
            <w:pPr>
              <w:pStyle w:val="Default"/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>CVA zaštite</w:t>
            </w:r>
          </w:p>
          <w:p w14:paraId="2DA2624F" w14:textId="77777777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</w:rPr>
              <w:t xml:space="preserve">Članak 386. Uredbe (EU) br. 575/2013                                                                                                                                                                                 </w:t>
            </w:r>
          </w:p>
        </w:tc>
      </w:tr>
      <w:tr w:rsidR="00942645" w:rsidRPr="00CA7700" w14:paraId="7F165970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EA7AA2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  <w:rPr>
                <w:b/>
              </w:rPr>
            </w:pPr>
            <w:r>
              <w:rPr>
                <w:b/>
              </w:rPr>
              <w:t>Slovna oznaka stupca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6F8A39" w14:textId="77777777" w:rsidR="00942645" w:rsidRPr="00CA7700" w:rsidRDefault="00942645" w:rsidP="00962254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942645" w:rsidRPr="00CA7700" w14:paraId="132006DD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0863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77491" w14:textId="77777777" w:rsidR="004D0F6F" w:rsidRPr="00212EDF" w:rsidRDefault="00F94A07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>Kapitalni zahtjevi</w:t>
            </w:r>
          </w:p>
          <w:p w14:paraId="1EAAA246" w14:textId="6BD90025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Članak 382. Uredbe (EU) br. 575/2013</w:t>
            </w:r>
          </w:p>
        </w:tc>
      </w:tr>
      <w:tr w:rsidR="00942645" w:rsidRPr="00CA7700" w14:paraId="4CF3202E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3FEF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EU 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80EEF" w14:textId="77777777" w:rsidR="00942645" w:rsidRPr="00212EDF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>Zamišljeni iznos CVA zaštita</w:t>
            </w:r>
          </w:p>
          <w:p w14:paraId="6971C72E" w14:textId="002E6959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>Zamišljeni iznos priznatih CVA zaštita (bruto iznosi), koje se priznaju u skladu s člankom 386. Uredbe (EU) br. 575/2013.</w:t>
            </w:r>
          </w:p>
        </w:tc>
      </w:tr>
    </w:tbl>
    <w:p w14:paraId="262650D7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 </w:t>
      </w:r>
    </w:p>
    <w:p w14:paraId="26F81090" w14:textId="2356F62C" w:rsidR="00942645" w:rsidRPr="00CA7700" w:rsidRDefault="00942645" w:rsidP="00942645">
      <w:pPr>
        <w:pStyle w:val="Titlelevel2"/>
        <w:spacing w:before="120" w:after="120"/>
        <w:rPr>
          <w:rFonts w:ascii="Times New Roman" w:eastAsiaTheme="minorEastAsia" w:hAnsi="Times New Roman" w:cs="Times New Roman"/>
          <w:bCs w:val="0"/>
          <w:noProof/>
          <w:color w:val="000000"/>
          <w:sz w:val="24"/>
        </w:rPr>
      </w:pPr>
      <w:r>
        <w:rPr>
          <w:rFonts w:ascii="Times New Roman" w:hAnsi="Times New Roman"/>
          <w:b/>
          <w:color w:val="auto"/>
          <w:sz w:val="24"/>
        </w:rPr>
        <w:t>Tablica EU CVAB: Zahtjevi za objavu kvalitativnih informacija o CVA riziku za institucije koje primjenjuju standardizirani pristup.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Polja za slobodni unos teksta. </w:t>
      </w:r>
    </w:p>
    <w:p w14:paraId="15A03098" w14:textId="5A4C11E9" w:rsidR="00942645" w:rsidRPr="00CA7700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color w:val="auto"/>
          <w:sz w:val="24"/>
        </w:rPr>
        <w:t>Institucije primjenjuju upute u nastavku pri ispunjavanju</w:t>
      </w:r>
      <w:r>
        <w:rPr>
          <w:rFonts w:ascii="Times New Roman" w:hAnsi="Times New Roman"/>
          <w:color w:val="000000"/>
          <w:sz w:val="24"/>
        </w:rPr>
        <w:t xml:space="preserve"> tablice EU CVAB kako je navedeno u Prilogu XLI. IT rješenjima, u skladu s člankom 445.a stavkom 2. točkom (a) Uredbe (EU) br. 575/2013.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48D84649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74E740" w14:textId="77777777" w:rsidR="00942645" w:rsidRPr="00CA7700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942645" w:rsidRPr="00CA7700" w14:paraId="058ED50C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C0D35AA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retka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1D077C1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942645" w:rsidRPr="00CA7700" w14:paraId="7FC943AA" w14:textId="77777777" w:rsidTr="00962254">
        <w:trPr>
          <w:trHeight w:val="680"/>
        </w:trPr>
        <w:tc>
          <w:tcPr>
            <w:tcW w:w="1384" w:type="dxa"/>
          </w:tcPr>
          <w:p w14:paraId="538FEE19" w14:textId="77777777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>(a)</w:t>
            </w:r>
          </w:p>
        </w:tc>
        <w:tc>
          <w:tcPr>
            <w:tcW w:w="7655" w:type="dxa"/>
            <w:vAlign w:val="center"/>
          </w:tcPr>
          <w:p w14:paraId="5723498B" w14:textId="6623C4D9" w:rsidR="00942645" w:rsidRPr="00CA7700" w:rsidRDefault="00942645" w:rsidP="00C2380E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Pri objavi informacija propisanih člankom 445.a stavkom 2. točkom (a) Uredbe (EU) br. 575/2013 institucije moraju opisati strukturu i organizaciju unutarnje funkcije za upravljanje CVA rizikom i rukovođenja; uključujući opis bankinog okvira za upravljanje CVA rizikom. </w:t>
            </w:r>
          </w:p>
        </w:tc>
      </w:tr>
      <w:tr w:rsidR="00942645" w:rsidRPr="00CA7700" w14:paraId="2C14B87C" w14:textId="77777777" w:rsidTr="00962254">
        <w:trPr>
          <w:trHeight w:val="680"/>
        </w:trPr>
        <w:tc>
          <w:tcPr>
            <w:tcW w:w="1384" w:type="dxa"/>
          </w:tcPr>
          <w:p w14:paraId="6735DFB8" w14:textId="77777777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>(b)</w:t>
            </w:r>
          </w:p>
        </w:tc>
        <w:tc>
          <w:tcPr>
            <w:tcW w:w="7655" w:type="dxa"/>
            <w:vAlign w:val="center"/>
          </w:tcPr>
          <w:p w14:paraId="18D48591" w14:textId="77777777" w:rsidR="00942645" w:rsidRPr="00CA7700" w:rsidRDefault="00942645" w:rsidP="00962254">
            <w:pPr>
              <w:spacing w:before="6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Opis načina na koji je više rukovodstvo uključeno u okvir za upravljanje CVA rizikom.</w:t>
            </w:r>
          </w:p>
        </w:tc>
      </w:tr>
      <w:tr w:rsidR="00942645" w:rsidRPr="00CA7700" w14:paraId="23888D51" w14:textId="77777777" w:rsidTr="00962254">
        <w:trPr>
          <w:trHeight w:val="680"/>
        </w:trPr>
        <w:tc>
          <w:tcPr>
            <w:tcW w:w="1384" w:type="dxa"/>
          </w:tcPr>
          <w:p w14:paraId="31F6385A" w14:textId="77777777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>(c)</w:t>
            </w:r>
          </w:p>
        </w:tc>
        <w:tc>
          <w:tcPr>
            <w:tcW w:w="7655" w:type="dxa"/>
            <w:vAlign w:val="center"/>
          </w:tcPr>
          <w:p w14:paraId="4DDC9D3A" w14:textId="77777777" w:rsidR="00942645" w:rsidRPr="00CA7700" w:rsidRDefault="00942645" w:rsidP="00962254">
            <w:pPr>
              <w:spacing w:before="6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Pregled upravljanja okvirom za upravljanje CVA rizikom (npr. dokumentacija, neovisna kontrolna jedinica, neovisna revizija, neovisnost stjecanja podataka od poslovnih linija)</w:t>
            </w:r>
          </w:p>
        </w:tc>
      </w:tr>
    </w:tbl>
    <w:p w14:paraId="48A22EB2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10E64D71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6E35954E" w14:textId="05CD8C39" w:rsidR="00942645" w:rsidRPr="00CA7700" w:rsidRDefault="00942645" w:rsidP="00942645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Obrazac EU CVA3 – Rizik prilagodbe kreditnom vrednovanju u skladu sa standardiziranim pristupom (SA). </w:t>
      </w:r>
      <w:r>
        <w:rPr>
          <w:rFonts w:ascii="Times New Roman" w:hAnsi="Times New Roman"/>
          <w:sz w:val="24"/>
        </w:rPr>
        <w:t>Fiksni unos.</w:t>
      </w:r>
    </w:p>
    <w:p w14:paraId="18ADC674" w14:textId="77777777" w:rsidR="00942645" w:rsidRPr="00CA7700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color w:val="000000"/>
          <w:sz w:val="24"/>
        </w:rPr>
        <w:t>Institucije</w:t>
      </w:r>
      <w:r>
        <w:rPr>
          <w:rFonts w:ascii="Times New Roman" w:hAnsi="Times New Roman"/>
          <w:color w:val="auto"/>
          <w:sz w:val="24"/>
        </w:rPr>
        <w:t xml:space="preserve"> primjenjuju</w:t>
      </w:r>
      <w:r>
        <w:rPr>
          <w:rFonts w:ascii="Times New Roman" w:hAnsi="Times New Roman"/>
          <w:color w:val="000000"/>
          <w:sz w:val="24"/>
        </w:rPr>
        <w:t xml:space="preserve"> upute u nastavku ovog Priloga pri ispunjavanju tablice EU CVA3 kako je navedeno u Prilogu XLI., </w:t>
      </w:r>
      <w:r>
        <w:rPr>
          <w:rFonts w:ascii="Times New Roman" w:hAnsi="Times New Roman"/>
          <w:color w:val="auto"/>
          <w:sz w:val="24"/>
        </w:rPr>
        <w:t>u skladu s člankom 445.a stavkom 1. točkom (c) i člankom 445.a stavkom 2. točkama (b) i (c) Uredbe (EU) br. 575/2013.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51449C47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A30005" w14:textId="77777777" w:rsidR="00942645" w:rsidRPr="00CA7700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942645" w:rsidRPr="00CA7700" w14:paraId="7D7672FA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02C2F2D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retka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A1AB3F4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942645" w:rsidRPr="00CA7700" w14:paraId="0BAD186E" w14:textId="77777777" w:rsidTr="00962254">
        <w:trPr>
          <w:trHeight w:val="680"/>
        </w:trPr>
        <w:tc>
          <w:tcPr>
            <w:tcW w:w="1384" w:type="dxa"/>
          </w:tcPr>
          <w:p w14:paraId="4425CAC5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1 – 6</w:t>
            </w:r>
          </w:p>
        </w:tc>
        <w:tc>
          <w:tcPr>
            <w:tcW w:w="7655" w:type="dxa"/>
            <w:vAlign w:val="center"/>
          </w:tcPr>
          <w:p w14:paraId="78E0BB68" w14:textId="77777777" w:rsidR="00942645" w:rsidRPr="00212EDF" w:rsidRDefault="00942645" w:rsidP="00962254">
            <w:pPr>
              <w:pStyle w:val="TableNote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Kategorije rizika</w:t>
            </w:r>
          </w:p>
          <w:p w14:paraId="60828ECC" w14:textId="4B3E3F32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Komponente kapitalnih zahtjeva u skladu sa standardiziranim pristupom (SA-CVA rizik) u skladu s člankom 383. Uredbe (EU) br. 575/2013, uključujući raščlambu po kategorijama rizika kako su definirane u članku 383. stavku 2. točki 1. Uredbe (EU) br. 575/2013.</w:t>
            </w:r>
          </w:p>
        </w:tc>
      </w:tr>
      <w:tr w:rsidR="00942645" w:rsidRPr="00CA7700" w14:paraId="08B80DC9" w14:textId="77777777" w:rsidTr="00962254">
        <w:trPr>
          <w:trHeight w:val="680"/>
        </w:trPr>
        <w:tc>
          <w:tcPr>
            <w:tcW w:w="1384" w:type="dxa"/>
          </w:tcPr>
          <w:p w14:paraId="0A8EF228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1</w:t>
            </w:r>
          </w:p>
        </w:tc>
        <w:tc>
          <w:tcPr>
            <w:tcW w:w="7655" w:type="dxa"/>
            <w:vAlign w:val="center"/>
          </w:tcPr>
          <w:p w14:paraId="28EC92DE" w14:textId="02A0C77C" w:rsidR="00942645" w:rsidRPr="00212EDF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Kamatni rizik</w:t>
            </w:r>
          </w:p>
          <w:p w14:paraId="16CB1A2E" w14:textId="2B6C4833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Članci 383.c, 383.i, 383.j, 383.k, 383.l, 383.m Uredbe (EU) br. 575/2013 </w:t>
            </w:r>
          </w:p>
        </w:tc>
      </w:tr>
      <w:tr w:rsidR="00942645" w:rsidRPr="00CA7700" w14:paraId="66D65198" w14:textId="77777777" w:rsidTr="00962254">
        <w:trPr>
          <w:trHeight w:val="680"/>
        </w:trPr>
        <w:tc>
          <w:tcPr>
            <w:tcW w:w="1384" w:type="dxa"/>
          </w:tcPr>
          <w:p w14:paraId="17F59EE8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2</w:t>
            </w:r>
          </w:p>
        </w:tc>
        <w:tc>
          <w:tcPr>
            <w:tcW w:w="7655" w:type="dxa"/>
            <w:vAlign w:val="center"/>
          </w:tcPr>
          <w:p w14:paraId="44DDD750" w14:textId="77777777" w:rsidR="00942645" w:rsidRPr="00212EDF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Valutni rizik </w:t>
            </w:r>
          </w:p>
          <w:p w14:paraId="0D99F846" w14:textId="21475511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Članci 383.d, 383.i, 383.j, 383.n, 383.o Uredbe (EU) br. 575/2013</w:t>
            </w:r>
          </w:p>
        </w:tc>
      </w:tr>
      <w:tr w:rsidR="00942645" w:rsidRPr="00CA7700" w14:paraId="1E7CC2E9" w14:textId="77777777" w:rsidTr="00962254">
        <w:trPr>
          <w:trHeight w:val="680"/>
        </w:trPr>
        <w:tc>
          <w:tcPr>
            <w:tcW w:w="1384" w:type="dxa"/>
          </w:tcPr>
          <w:p w14:paraId="47052EF4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3</w:t>
            </w:r>
          </w:p>
        </w:tc>
        <w:tc>
          <w:tcPr>
            <w:tcW w:w="7655" w:type="dxa"/>
            <w:vAlign w:val="center"/>
          </w:tcPr>
          <w:p w14:paraId="2CE70E59" w14:textId="77777777" w:rsidR="00942645" w:rsidRPr="00212EDF" w:rsidRDefault="00942645" w:rsidP="00962254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Rizik referentne kreditne marže</w:t>
            </w:r>
          </w:p>
          <w:p w14:paraId="371E3FA7" w14:textId="67089DA8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Članci 383.f, 383.i, 383.j, 383.s, 383.u Uredbe (EU) br. 575/2013</w:t>
            </w:r>
          </w:p>
        </w:tc>
      </w:tr>
      <w:tr w:rsidR="00942645" w:rsidRPr="00CA7700" w14:paraId="63127EE0" w14:textId="77777777" w:rsidTr="00962254">
        <w:trPr>
          <w:trHeight w:val="680"/>
        </w:trPr>
        <w:tc>
          <w:tcPr>
            <w:tcW w:w="1384" w:type="dxa"/>
          </w:tcPr>
          <w:p w14:paraId="334E24EF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4</w:t>
            </w:r>
          </w:p>
        </w:tc>
        <w:tc>
          <w:tcPr>
            <w:tcW w:w="7655" w:type="dxa"/>
            <w:vAlign w:val="center"/>
          </w:tcPr>
          <w:p w14:paraId="57EBB8D1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Rizik vlasničkih instrumenata</w:t>
            </w:r>
          </w:p>
          <w:p w14:paraId="091E1B85" w14:textId="4452A32D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Članci 383.g, 383.i, 383.j, 383.v, 383.w Uredbe (EU) br. 575/2013</w:t>
            </w:r>
          </w:p>
        </w:tc>
      </w:tr>
      <w:tr w:rsidR="00942645" w:rsidRPr="00CA7700" w14:paraId="52C23ACC" w14:textId="77777777" w:rsidTr="00962254">
        <w:trPr>
          <w:trHeight w:val="680"/>
        </w:trPr>
        <w:tc>
          <w:tcPr>
            <w:tcW w:w="1384" w:type="dxa"/>
          </w:tcPr>
          <w:p w14:paraId="579A551B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5</w:t>
            </w:r>
          </w:p>
        </w:tc>
        <w:tc>
          <w:tcPr>
            <w:tcW w:w="7655" w:type="dxa"/>
            <w:vAlign w:val="center"/>
          </w:tcPr>
          <w:p w14:paraId="56BFBEB4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Robni rizik</w:t>
            </w:r>
          </w:p>
          <w:p w14:paraId="1503EDB0" w14:textId="5095156A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Članci 383.h, 383.i, 383.j, 383.x, 383.z Uredbe (EU) br. 575/2013</w:t>
            </w:r>
          </w:p>
        </w:tc>
      </w:tr>
      <w:tr w:rsidR="00942645" w:rsidRPr="00CA7700" w14:paraId="7B9ACC73" w14:textId="77777777" w:rsidTr="00962254">
        <w:trPr>
          <w:trHeight w:val="680"/>
        </w:trPr>
        <w:tc>
          <w:tcPr>
            <w:tcW w:w="1384" w:type="dxa"/>
          </w:tcPr>
          <w:p w14:paraId="0056975A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6</w:t>
            </w:r>
          </w:p>
        </w:tc>
        <w:tc>
          <w:tcPr>
            <w:tcW w:w="7655" w:type="dxa"/>
            <w:vAlign w:val="center"/>
          </w:tcPr>
          <w:p w14:paraId="14F9191C" w14:textId="77777777" w:rsidR="00942645" w:rsidRPr="00212EDF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Rizik kreditne marže druge ugovorne strane</w:t>
            </w:r>
          </w:p>
          <w:p w14:paraId="3345109B" w14:textId="5DC9DECF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Članci 383.e, 383.i, 383.j, 383.p, 383.q, 383.r Uredbe (EU) br. 575/2013</w:t>
            </w:r>
          </w:p>
        </w:tc>
      </w:tr>
      <w:tr w:rsidR="00942645" w:rsidRPr="00CA7700" w14:paraId="223E2B2A" w14:textId="77777777" w:rsidTr="00962254">
        <w:trPr>
          <w:trHeight w:val="680"/>
        </w:trPr>
        <w:tc>
          <w:tcPr>
            <w:tcW w:w="1384" w:type="dxa"/>
          </w:tcPr>
          <w:p w14:paraId="7CA24864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7</w:t>
            </w:r>
          </w:p>
        </w:tc>
        <w:tc>
          <w:tcPr>
            <w:tcW w:w="7655" w:type="dxa"/>
          </w:tcPr>
          <w:p w14:paraId="78C024D4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Ukupno</w:t>
            </w:r>
          </w:p>
          <w:p w14:paraId="7E51C6A2" w14:textId="0EF0E48B" w:rsidR="00942645" w:rsidRPr="00CA7700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Zbroj redaka od 1 do 6. Iznos jednak iznosu objavljenom u retku EU 10a stupcu (c) obrasca EU OV1.</w:t>
            </w:r>
          </w:p>
        </w:tc>
      </w:tr>
      <w:tr w:rsidR="00942645" w:rsidRPr="00CA7700" w14:paraId="2D9384A0" w14:textId="77777777" w:rsidTr="00962254">
        <w:trPr>
          <w:trHeight w:val="680"/>
        </w:trPr>
        <w:tc>
          <w:tcPr>
            <w:tcW w:w="1384" w:type="dxa"/>
          </w:tcPr>
          <w:p w14:paraId="460ABCE7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EU 8 – EU 13</w:t>
            </w:r>
          </w:p>
        </w:tc>
        <w:tc>
          <w:tcPr>
            <w:tcW w:w="7655" w:type="dxa"/>
          </w:tcPr>
          <w:p w14:paraId="24FDD12C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Vrste drugih ugovornih strana transakcija </w:t>
            </w:r>
          </w:p>
          <w:p w14:paraId="384E4400" w14:textId="489739D4" w:rsidR="00942645" w:rsidRPr="00212EDF" w:rsidRDefault="00942645" w:rsidP="00E60D1B">
            <w:pPr>
              <w:spacing w:before="60"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Broj drugih ugovornih strana transakcija raščlanjen po vrsti u skladu s uputama iz točaka 42.-44. odjeljka 6. dijela 1. Priloga V. IT rješenju pod nazivom „</w:t>
            </w:r>
            <w:r>
              <w:rPr>
                <w:rFonts w:ascii="Times New Roman" w:hAnsi="Times New Roman"/>
                <w:i/>
                <w:sz w:val="24"/>
              </w:rPr>
              <w:t>Reporting on Financial information according to IFRS and GAAP information according- 2024 - version 1</w:t>
            </w:r>
            <w:r>
              <w:rPr>
                <w:rFonts w:ascii="Times New Roman" w:hAnsi="Times New Roman"/>
                <w:sz w:val="24"/>
              </w:rPr>
              <w:t xml:space="preserve">” [dostupno na internetskoj stranici EBA-e]. </w:t>
            </w:r>
          </w:p>
        </w:tc>
      </w:tr>
      <w:tr w:rsidR="00942645" w:rsidRPr="00CA7700" w14:paraId="52F521D6" w14:textId="77777777" w:rsidTr="00962254">
        <w:trPr>
          <w:trHeight w:val="680"/>
        </w:trPr>
        <w:tc>
          <w:tcPr>
            <w:tcW w:w="1384" w:type="dxa"/>
          </w:tcPr>
          <w:p w14:paraId="0F53B2B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EU 14</w:t>
            </w:r>
          </w:p>
        </w:tc>
        <w:tc>
          <w:tcPr>
            <w:tcW w:w="7655" w:type="dxa"/>
          </w:tcPr>
          <w:p w14:paraId="18FAC522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Ukupno</w:t>
            </w:r>
          </w:p>
          <w:p w14:paraId="67696FDB" w14:textId="77777777" w:rsidR="00942645" w:rsidRPr="00CA7700" w:rsidRDefault="00942645" w:rsidP="00962254">
            <w:pPr>
              <w:spacing w:before="60" w:after="120"/>
              <w:rPr>
                <w:rFonts w:ascii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Ukupni broj drugih ugovornih strana kao zbroj redaka od EU 8 do EU 13.</w:t>
            </w:r>
          </w:p>
        </w:tc>
      </w:tr>
      <w:tr w:rsidR="00942645" w:rsidRPr="00CA7700" w14:paraId="3BA0F782" w14:textId="77777777" w:rsidTr="00962254">
        <w:trPr>
          <w:trHeight w:val="680"/>
        </w:trPr>
        <w:tc>
          <w:tcPr>
            <w:tcW w:w="1384" w:type="dxa"/>
          </w:tcPr>
          <w:p w14:paraId="2120038F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EU 15 – EU 17</w:t>
            </w:r>
          </w:p>
        </w:tc>
        <w:tc>
          <w:tcPr>
            <w:tcW w:w="7655" w:type="dxa"/>
          </w:tcPr>
          <w:p w14:paraId="64353F3E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CVA zaštite</w:t>
            </w:r>
          </w:p>
          <w:p w14:paraId="69C81380" w14:textId="77777777" w:rsidR="00942645" w:rsidRPr="00CA7700" w:rsidRDefault="00942645" w:rsidP="00962254">
            <w:pPr>
              <w:spacing w:before="60" w:after="120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Članak 386. Uredbe (EU) br. 575/2013</w:t>
            </w:r>
          </w:p>
        </w:tc>
      </w:tr>
      <w:tr w:rsidR="00942645" w:rsidRPr="00CA7700" w14:paraId="1FDF68F3" w14:textId="77777777" w:rsidTr="00962254">
        <w:trPr>
          <w:trHeight w:val="680"/>
        </w:trPr>
        <w:tc>
          <w:tcPr>
            <w:tcW w:w="1384" w:type="dxa"/>
          </w:tcPr>
          <w:p w14:paraId="2944002F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EU 18</w:t>
            </w:r>
          </w:p>
        </w:tc>
        <w:tc>
          <w:tcPr>
            <w:tcW w:w="7655" w:type="dxa"/>
          </w:tcPr>
          <w:p w14:paraId="30C7C944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Ukupno</w:t>
            </w:r>
          </w:p>
          <w:p w14:paraId="7B810666" w14:textId="77777777" w:rsidR="00942645" w:rsidRPr="00CA7700" w:rsidRDefault="00942645" w:rsidP="00962254">
            <w:pPr>
              <w:spacing w:before="60" w:after="120"/>
              <w:rPr>
                <w:rFonts w:ascii="Times New Roman" w:hAnsi="Times New Roman" w:cs="Times New Roman"/>
                <w:bCs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Zbroj redaka od EU 15 do EU 17.</w:t>
            </w:r>
          </w:p>
        </w:tc>
      </w:tr>
      <w:tr w:rsidR="00942645" w:rsidRPr="00CA7700" w14:paraId="782C4928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C9E959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  <w:rPr>
                <w:b/>
              </w:rPr>
            </w:pPr>
            <w:r>
              <w:rPr>
                <w:b/>
              </w:rPr>
              <w:t>Slovna oznaka stupca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09E894" w14:textId="77777777" w:rsidR="00942645" w:rsidRPr="00CA7700" w:rsidRDefault="00942645" w:rsidP="00962254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942645" w:rsidRPr="00CA7700" w14:paraId="1F604F82" w14:textId="77777777" w:rsidTr="00962254">
        <w:trPr>
          <w:trHeight w:val="680"/>
        </w:trPr>
        <w:tc>
          <w:tcPr>
            <w:tcW w:w="1384" w:type="dxa"/>
          </w:tcPr>
          <w:p w14:paraId="55FF8A1A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2B901479" w14:textId="77777777" w:rsidR="004D0F6F" w:rsidRPr="00212EDF" w:rsidRDefault="009B4C5B" w:rsidP="00962254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0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Kapitalni zahtjevi</w:t>
            </w:r>
          </w:p>
          <w:p w14:paraId="1259F031" w14:textId="106FC974" w:rsidR="00942645" w:rsidRPr="00CA7700" w:rsidRDefault="00942645" w:rsidP="00962254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Članak 382. Uredbe (EU) br. 575/2013</w:t>
            </w:r>
          </w:p>
        </w:tc>
      </w:tr>
      <w:tr w:rsidR="00942645" w:rsidRPr="00CA7700" w14:paraId="27C16A71" w14:textId="77777777" w:rsidTr="00962254">
        <w:trPr>
          <w:trHeight w:val="412"/>
        </w:trPr>
        <w:tc>
          <w:tcPr>
            <w:tcW w:w="1384" w:type="dxa"/>
          </w:tcPr>
          <w:p w14:paraId="4CD7018C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b</w:t>
            </w:r>
          </w:p>
        </w:tc>
        <w:tc>
          <w:tcPr>
            <w:tcW w:w="7655" w:type="dxa"/>
            <w:vAlign w:val="center"/>
          </w:tcPr>
          <w:p w14:paraId="6F633119" w14:textId="77777777" w:rsidR="00942645" w:rsidRPr="00212EDF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drugih ugovornih strana</w:t>
            </w:r>
          </w:p>
          <w:p w14:paraId="4B5F72BC" w14:textId="48FA7F47" w:rsidR="00942645" w:rsidRPr="00CA7700" w:rsidRDefault="00942645" w:rsidP="00962254">
            <w:pPr>
              <w:pStyle w:val="TableNot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Broj drugih ugovornih strana kako je definiran u članku 383. stavku 1. Uredbe (EU) br. 575/2013 uključen u izračun kapitalnih zahtjeva za SA-CVA rizik. </w:t>
            </w:r>
          </w:p>
        </w:tc>
      </w:tr>
      <w:tr w:rsidR="00942645" w:rsidRPr="00CA7700" w14:paraId="4F7F003A" w14:textId="77777777" w:rsidTr="00962254">
        <w:trPr>
          <w:trHeight w:val="412"/>
        </w:trPr>
        <w:tc>
          <w:tcPr>
            <w:tcW w:w="1384" w:type="dxa"/>
          </w:tcPr>
          <w:p w14:paraId="421D4A37" w14:textId="77777777" w:rsidR="00942645" w:rsidRPr="00CA7700" w:rsidDel="000073FA" w:rsidRDefault="00942645" w:rsidP="00962254">
            <w:pPr>
              <w:pStyle w:val="Applicationdirecte"/>
              <w:spacing w:before="60" w:after="0"/>
              <w:jc w:val="center"/>
            </w:pPr>
            <w:r>
              <w:t>EU c</w:t>
            </w:r>
          </w:p>
        </w:tc>
        <w:tc>
          <w:tcPr>
            <w:tcW w:w="7655" w:type="dxa"/>
            <w:vAlign w:val="center"/>
          </w:tcPr>
          <w:p w14:paraId="78B4FFA9" w14:textId="77777777" w:rsidR="00942645" w:rsidRPr="00212EDF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Zamišljeni iznos CVA zaštita</w:t>
            </w:r>
          </w:p>
          <w:p w14:paraId="52C0F4DF" w14:textId="77777777" w:rsidR="00942645" w:rsidRPr="00CA7700" w:rsidDel="000073FA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Zamišljeni iznos priznatih CVA zaštita koje se priznaju u skladu s člankom 386. Uredbe (EU) br. 575/2013.</w:t>
            </w:r>
          </w:p>
        </w:tc>
      </w:tr>
    </w:tbl>
    <w:p w14:paraId="56389C84" w14:textId="77777777" w:rsidR="00942645" w:rsidRPr="00CA7700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b/>
          <w:color w:val="auto"/>
          <w:sz w:val="24"/>
        </w:rPr>
      </w:pPr>
    </w:p>
    <w:p w14:paraId="54D95FED" w14:textId="77777777" w:rsidR="00942645" w:rsidRPr="00CA7700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b/>
          <w:color w:val="auto"/>
          <w:sz w:val="24"/>
        </w:rPr>
      </w:pPr>
    </w:p>
    <w:p w14:paraId="3241D71F" w14:textId="199C0077" w:rsidR="00942645" w:rsidRPr="00CA7700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Obrazac EU CVA4 – Izvješća o tokovima iznosa izloženosti ponderiranih rizikom (RWEA) za rizik prilagodbe kreditnom vrednovanju u skladu sa standardiziranim pristupom (SA). </w:t>
      </w:r>
      <w:r>
        <w:rPr>
          <w:rFonts w:ascii="Times New Roman" w:hAnsi="Times New Roman"/>
          <w:color w:val="auto"/>
          <w:sz w:val="24"/>
        </w:rPr>
        <w:t>Fiksni unos.</w:t>
      </w:r>
    </w:p>
    <w:p w14:paraId="22E699CE" w14:textId="5A78E63F" w:rsidR="00942645" w:rsidRPr="00CA7700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rFonts w:ascii="Times New Roman" w:eastAsiaTheme="minorEastAsia" w:hAnsi="Times New Roman" w:cs="Times New Roman"/>
          <w:bCs w:val="0"/>
          <w:noProof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Institucije primjenjuju upute u nastavku pri ispunjavanju obrasca EU CVA4 kako je navedeno u Prilogu XLI. IT rješenjima, u skladu s člankom 438. točkama (d) i (h) Uredbe (EU) br. 575/2013. </w:t>
      </w:r>
    </w:p>
    <w:p w14:paraId="03A729A3" w14:textId="77777777" w:rsidR="00942645" w:rsidRPr="00CA7700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rFonts w:ascii="Times New Roman" w:eastAsiaTheme="minorEastAsia" w:hAnsi="Times New Roman" w:cs="Times New Roman"/>
          <w:bCs w:val="0"/>
          <w:noProof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Institucije su dužne obrazac dopuniti opisom kojim se objašnjavaju sve znatne promjene tijekom razdoblja izvještavanja i glavni razlozi za te promjene. Faktori promjena mogu uključivati kretanja razina rizika, promjene opsega (npr. kretanje skupova za netiranja između SA-CVA i BA-CVA), stjecanje i prodaju poslovnih / proizvodnih linija ili subjekata ili promjene preračunavanja stranih valuta</w:t>
      </w:r>
    </w:p>
    <w:p w14:paraId="3EF515BA" w14:textId="77777777" w:rsidR="00942645" w:rsidRPr="00CA7700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0C553674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4F4D4C" w14:textId="77777777" w:rsidR="00942645" w:rsidRPr="00CA7700" w:rsidRDefault="00942645" w:rsidP="00962254">
            <w:pPr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Pravna osnova i upute</w:t>
            </w:r>
          </w:p>
        </w:tc>
      </w:tr>
      <w:tr w:rsidR="00942645" w:rsidRPr="00CA7700" w14:paraId="6B2A23D8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C16AB73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retka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CBC342B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942645" w:rsidRPr="00CA7700" w14:paraId="3B818BBB" w14:textId="77777777" w:rsidTr="00962254">
        <w:trPr>
          <w:trHeight w:val="680"/>
        </w:trPr>
        <w:tc>
          <w:tcPr>
            <w:tcW w:w="1384" w:type="dxa"/>
          </w:tcPr>
          <w:p w14:paraId="4AAE0796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1</w:t>
            </w:r>
          </w:p>
        </w:tc>
        <w:tc>
          <w:tcPr>
            <w:tcW w:w="7655" w:type="dxa"/>
            <w:vAlign w:val="center"/>
          </w:tcPr>
          <w:p w14:paraId="1165D18C" w14:textId="77777777" w:rsidR="00942645" w:rsidRPr="00212EDF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Iznosi izloženosti ponderiranih rizikom na kraju prethodnog izvještajnog razdoblja </w:t>
            </w:r>
          </w:p>
          <w:p w14:paraId="0A24A95A" w14:textId="77777777" w:rsidR="00942645" w:rsidRPr="00CA7700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Taj je iznos jednak iznosu objavljenom u obrascu EU OV1 stupcu (b) retku EU 10a.</w:t>
            </w:r>
          </w:p>
        </w:tc>
      </w:tr>
      <w:tr w:rsidR="00942645" w:rsidRPr="00CA7700" w14:paraId="707CAAFF" w14:textId="77777777" w:rsidTr="00962254">
        <w:trPr>
          <w:trHeight w:val="680"/>
        </w:trPr>
        <w:tc>
          <w:tcPr>
            <w:tcW w:w="1384" w:type="dxa"/>
          </w:tcPr>
          <w:p w14:paraId="73DA5AF3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2</w:t>
            </w:r>
          </w:p>
        </w:tc>
        <w:tc>
          <w:tcPr>
            <w:tcW w:w="7655" w:type="dxa"/>
            <w:vAlign w:val="center"/>
          </w:tcPr>
          <w:p w14:paraId="1AE00A33" w14:textId="77777777" w:rsidR="00942645" w:rsidRPr="00212EDF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Iznos izloženosti ponderiranih rizikom na kraju sadašnjeg izvještajnog razdoblja</w:t>
            </w:r>
          </w:p>
          <w:p w14:paraId="1FF40BFD" w14:textId="77777777" w:rsidR="00942645" w:rsidRPr="00CA7700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jednak iznosu objavljenom u obrascu EU OV1 stupcu (a) retku EU 10a.</w:t>
            </w:r>
          </w:p>
        </w:tc>
      </w:tr>
      <w:tr w:rsidR="00942645" w:rsidRPr="00CA7700" w14:paraId="6F869904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B8DA6A" w14:textId="77777777" w:rsidR="00942645" w:rsidRPr="00CA7700" w:rsidRDefault="00942645" w:rsidP="00962254">
            <w:pPr>
              <w:pStyle w:val="Applicationdirecte"/>
              <w:spacing w:before="0"/>
              <w:jc w:val="left"/>
              <w:rPr>
                <w:b/>
              </w:rPr>
            </w:pPr>
            <w:r>
              <w:rPr>
                <w:b/>
              </w:rPr>
              <w:t>Slovna oznaka stupca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A0165C" w14:textId="77777777" w:rsidR="00942645" w:rsidRPr="00CA7700" w:rsidRDefault="00942645" w:rsidP="00962254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942645" w:rsidRPr="00DD6E2F" w14:paraId="2782C770" w14:textId="77777777" w:rsidTr="00962254">
        <w:trPr>
          <w:trHeight w:val="680"/>
        </w:trPr>
        <w:tc>
          <w:tcPr>
            <w:tcW w:w="1384" w:type="dxa"/>
          </w:tcPr>
          <w:p w14:paraId="19A9273D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a</w:t>
            </w:r>
          </w:p>
          <w:p w14:paraId="09532183" w14:textId="77777777" w:rsidR="00942645" w:rsidRPr="00CA7700" w:rsidRDefault="00942645" w:rsidP="00962254">
            <w:pPr>
              <w:jc w:val="center"/>
              <w:rPr>
                <w:rFonts w:ascii="Times New Roman" w:hAnsi="Times New Roman" w:cs="Times New Roman"/>
                <w:sz w:val="24"/>
                <w:lang w:val="en-GB"/>
              </w:rPr>
            </w:pPr>
          </w:p>
        </w:tc>
        <w:tc>
          <w:tcPr>
            <w:tcW w:w="7655" w:type="dxa"/>
            <w:vAlign w:val="center"/>
          </w:tcPr>
          <w:p w14:paraId="5539439A" w14:textId="77777777" w:rsidR="00942645" w:rsidRPr="00212EDF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Iznos izloženosti ponderiranih rizikom</w:t>
            </w:r>
          </w:p>
          <w:p w14:paraId="10E360D0" w14:textId="4CD692C9" w:rsidR="00942645" w:rsidRPr="00CA7700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Članak 92. stavak 4. točka (e) Uredbe (EU) br. 575/2013</w:t>
            </w:r>
          </w:p>
          <w:p w14:paraId="7E05B452" w14:textId="77777777" w:rsidR="00942645" w:rsidRPr="00DD6E2F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Kapitalni zahtjevi pomnoženi sa 12,5.</w:t>
            </w:r>
          </w:p>
          <w:p w14:paraId="3BE3A6CD" w14:textId="77777777" w:rsidR="00942645" w:rsidRPr="00DD6E2F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</w:tbl>
    <w:p w14:paraId="5F29D9AB" w14:textId="77777777" w:rsidR="00942645" w:rsidRPr="00DD6E2F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639067FC" w14:textId="77777777" w:rsidR="00942645" w:rsidRPr="00DD6E2F" w:rsidRDefault="00942645" w:rsidP="00942645">
      <w:pPr>
        <w:rPr>
          <w:rFonts w:ascii="Times New Roman" w:hAnsi="Times New Roman" w:cs="Times New Roman"/>
          <w:sz w:val="24"/>
        </w:rPr>
      </w:pPr>
    </w:p>
    <w:p w14:paraId="01A50A67" w14:textId="0EE3B3D1" w:rsidR="00FE0C92" w:rsidRPr="00DA6D4D" w:rsidRDefault="00FE0C92" w:rsidP="00942645">
      <w:pPr>
        <w:rPr>
          <w:rFonts w:ascii="Times New Roman" w:hAnsi="Times New Roman" w:cs="Times New Roman"/>
          <w:sz w:val="24"/>
        </w:rPr>
      </w:pPr>
    </w:p>
    <w:sectPr w:rsidR="00FE0C92" w:rsidRPr="00DA6D4D" w:rsidSect="00FD46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2268" w:right="1418" w:bottom="1134" w:left="170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83735" w14:textId="77777777" w:rsidR="00AC0ADB" w:rsidRDefault="00AC0ADB" w:rsidP="00A00E34">
      <w:r>
        <w:separator/>
      </w:r>
    </w:p>
    <w:p w14:paraId="161AAF51" w14:textId="77777777" w:rsidR="00AC0ADB" w:rsidRDefault="00AC0ADB"/>
  </w:endnote>
  <w:endnote w:type="continuationSeparator" w:id="0">
    <w:p w14:paraId="45641A75" w14:textId="77777777" w:rsidR="00AC0ADB" w:rsidRDefault="00AC0ADB" w:rsidP="00A00E34">
      <w:r>
        <w:continuationSeparator/>
      </w:r>
    </w:p>
    <w:p w14:paraId="2C57D894" w14:textId="77777777" w:rsidR="00AC0ADB" w:rsidRDefault="00AC0ADB"/>
  </w:endnote>
  <w:endnote w:type="continuationNotice" w:id="1">
    <w:p w14:paraId="7AC02CDA" w14:textId="77777777" w:rsidR="00AC0ADB" w:rsidRDefault="00AC0A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panose1 w:val="00000000000000000000"/>
    <w:charset w:val="00"/>
    <w:family w:val="auto"/>
    <w:pitch w:val="variable"/>
    <w:sig w:usb0="A00002EF" w:usb1="1000E0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F2A99" w14:textId="044710AC" w:rsidR="009B1B59" w:rsidRDefault="009B1B59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6</w:t>
    </w:r>
    <w:r>
      <w:rPr>
        <w:rStyle w:val="PageNumber"/>
      </w:rPr>
      <w:fldChar w:fldCharType="end"/>
    </w:r>
  </w:p>
  <w:p w14:paraId="6C820107" w14:textId="77777777" w:rsidR="009B1B59" w:rsidRDefault="009B1B59" w:rsidP="006103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85B10" w14:textId="07BCAC3C" w:rsidR="009B1B59" w:rsidRDefault="009B1B59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14:paraId="6EBA73BD" w14:textId="77777777" w:rsidR="009B1B59" w:rsidRDefault="009B1B59" w:rsidP="00610305">
    <w:pPr>
      <w:pStyle w:val="Footer"/>
      <w:ind w:right="36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1" locked="1" layoutInCell="1" allowOverlap="1" wp14:anchorId="47F43299" wp14:editId="7E46013A">
              <wp:simplePos x="0" y="0"/>
              <wp:positionH relativeFrom="column">
                <wp:posOffset>-71120</wp:posOffset>
              </wp:positionH>
              <wp:positionV relativeFrom="page">
                <wp:posOffset>9973309</wp:posOffset>
              </wp:positionV>
              <wp:extent cx="5723890" cy="0"/>
              <wp:effectExtent l="0" t="0" r="10160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3890" cy="0"/>
                      </a:xfrm>
                      <a:prstGeom prst="line">
                        <a:avLst/>
                      </a:prstGeom>
                      <a:ln w="12700" cmpd="sng"/>
                      <a:effectLst/>
                      <a:extLst>
                        <a:ext uri="{FAA26D3D-D897-4be2-8F04-BA451C77F1D7}">
                          <ma14:placeholder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  <a:ext uri="{C572A759-6A51-4108-AA02-DFA0A04FC94B}">
                          <ma14:wrappingTextBox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3DB128B" id="Straight Connector 10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from="-5.6pt,785.3pt" to="445.1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" strokecolor="#2f5773 [3204]" strokeweight="1pt">
              <o:lock v:ext="edit" shapetype="f"/>
              <w10:wrap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503DB" w14:textId="77777777" w:rsidR="00AC0ADB" w:rsidRPr="00DB5E8F" w:rsidRDefault="00AC0ADB">
      <w:pPr>
        <w:rPr>
          <w:sz w:val="12"/>
          <w:szCs w:val="12"/>
        </w:rPr>
      </w:pPr>
      <w:r>
        <w:rPr>
          <w:sz w:val="12"/>
          <w:szCs w:val="12"/>
        </w:rPr>
        <w:separator/>
      </w:r>
    </w:p>
  </w:footnote>
  <w:footnote w:type="continuationSeparator" w:id="0">
    <w:p w14:paraId="236D24D2" w14:textId="77777777" w:rsidR="00AC0ADB" w:rsidRDefault="00AC0ADB" w:rsidP="00A00E34">
      <w:r>
        <w:continuationSeparator/>
      </w:r>
    </w:p>
    <w:p w14:paraId="2D2A5D83" w14:textId="77777777" w:rsidR="00AC0ADB" w:rsidRDefault="00AC0ADB"/>
  </w:footnote>
  <w:footnote w:type="continuationNotice" w:id="1">
    <w:p w14:paraId="6782885B" w14:textId="77777777" w:rsidR="00AC0ADB" w:rsidRDefault="00AC0ADB"/>
  </w:footnote>
  <w:footnote w:id="2">
    <w:p w14:paraId="70019A20" w14:textId="633F9DF0" w:rsidR="00942645" w:rsidRDefault="00942645" w:rsidP="00942645">
      <w:pPr>
        <w:pStyle w:val="FootnoteText"/>
      </w:pPr>
      <w:r>
        <w:rPr>
          <w:rStyle w:val="FootnoteReference"/>
        </w:rPr>
        <w:footnoteRef/>
      </w:r>
      <w:r>
        <w:t xml:space="preserve"> Uredba (EU) br. 575/2013 Europskog parlamenta i Vijeća od 26. lipnja 2013. o bonitetnim zahtjevima za kreditne institucije i o izmjeni Uredbe (EU) br. 648/2012, kako je izmijenjena Uredbom (EU)  2024/1623 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SL L 176, 27.6.2013., str. 1.</w:t>
        </w:r>
      </w:hyperlink>
      <w:r>
        <w:rPr>
          <w:color w:val="444444"/>
        </w:rPr>
        <w:t>).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>Uredba – EU – 2024/1623 – EN – EUR-Lex (europa.eu)</w:t>
        </w:r>
      </w:hyperlink>
      <w:r>
        <w:rPr>
          <w:color w:val="444444"/>
        </w:rPr>
        <w:t>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78EB" w14:textId="0A1F5B85" w:rsidR="009B1B59" w:rsidRDefault="0027780B"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7006B3B6" wp14:editId="0696A0F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437402844" name="Text Box 437402844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615F57" w14:textId="3E938AB6" w:rsidR="0027780B" w:rsidRPr="0027780B" w:rsidRDefault="0027780B" w:rsidP="0027780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06B3B6" id="_x0000_t202" coordsize="21600,21600" o:spt="202" path="m,l,21600r21600,l21600,xe">
              <v:stroke joinstyle="miter"/>
              <v:path gradientshapeok="t" o:connecttype="rect"/>
            </v:shapetype>
            <v:shape id="Text Box 437402844" o:spid="_x0000_s1027" type="#_x0000_t202" alt="Title:  - Description: EBA Regular Use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C615F57" w14:textId="3E938AB6" w:rsidR="0027780B" w:rsidRPr="0027780B" w:rsidRDefault="0027780B" w:rsidP="0027780B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905980668"/>
        <w:temporary/>
        <w:showingPlcHdr/>
      </w:sdtPr>
      <w:sdtEndPr/>
      <w:sdtContent>
        <w:r>
          <w:t>[Type text]</w:t>
        </w:r>
      </w:sdtContent>
    </w:sdt>
    <w:r>
      <w:ptab w:relativeTo="margin" w:alignment="center" w:leader="none"/>
    </w:r>
    <w:sdt>
      <w:sdtPr>
        <w:id w:val="-476227318"/>
        <w:temporary/>
        <w:showingPlcHdr/>
      </w:sdtPr>
      <w:sdtEndPr/>
      <w:sdtContent>
        <w:r>
          <w:t>[Type text]</w:t>
        </w:r>
      </w:sdtContent>
    </w:sdt>
    <w:r>
      <w:ptab w:relativeTo="margin" w:alignment="right" w:leader="none"/>
    </w:r>
    <w:sdt>
      <w:sdtPr>
        <w:id w:val="807362839"/>
        <w:temporary/>
        <w:showingPlcHdr/>
      </w:sdtPr>
      <w:sdtEndPr/>
      <w:sdtContent>
        <w:r>
          <w:t>[Type text]</w:t>
        </w:r>
      </w:sdtContent>
    </w:sdt>
  </w:p>
  <w:p w14:paraId="3AAE931B" w14:textId="77777777" w:rsidR="009B1B59" w:rsidRDefault="009B1B5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A4088" w14:textId="0AB0615E" w:rsidR="009B1B59" w:rsidRPr="00F9452C" w:rsidRDefault="00AA0895" w:rsidP="00224D96">
    <w:pPr>
      <w:pStyle w:val="Runningtitle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2C736F14" wp14:editId="2B9401FB">
              <wp:simplePos x="0" y="0"/>
              <wp:positionH relativeFrom="column">
                <wp:posOffset>-7158990</wp:posOffset>
              </wp:positionH>
              <wp:positionV relativeFrom="paragraph">
                <wp:posOffset>-2289175</wp:posOffset>
              </wp:positionV>
              <wp:extent cx="2419350" cy="1404620"/>
              <wp:effectExtent l="0" t="0" r="19050" b="15875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93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AE67B3" w14:textId="77777777" w:rsidR="00C17044" w:rsidRDefault="00C17044" w:rsidP="00C17044">
                          <w:r>
                            <w:t>Pravne osnove u ovom Prilogu odnose se na nacrt verzije 3. CRR-a.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C736F14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8" type="#_x0000_t202" style="position:absolute;margin-left:-563.7pt;margin-top:-180.25pt;width:190.5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">
              <v:textbox style="mso-fit-shape-to-text:t">
                <w:txbxContent>
                  <w:p w14:paraId="25AE67B3" w14:textId="77777777" w:rsidR="00C17044" w:rsidRDefault="00C17044" w:rsidP="00C17044">
                    <w:r>
                      <w:t xml:space="preserve">Pravne osnove u ovom Prilogu odnose se na nacrt verzije 3. CRR-a.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225A4DD7" w14:textId="4A56A70C" w:rsidR="009B1B59" w:rsidRDefault="009B1B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318B0" w14:textId="22F7DF3B" w:rsidR="009B1B59" w:rsidRDefault="0027780B" w:rsidP="00E677EF">
    <w:pPr>
      <w:pStyle w:val="Runningtitle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A3BB21A" wp14:editId="7ECA1E2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432324849" name="Text Box 432324849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3B5B15" w14:textId="0C224026" w:rsidR="0027780B" w:rsidRPr="0027780B" w:rsidRDefault="0027780B" w:rsidP="0027780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3BB21A" id="_x0000_t202" coordsize="21600,21600" o:spt="202" path="m,l,21600r21600,l21600,xe">
              <v:stroke joinstyle="miter"/>
              <v:path gradientshapeok="t" o:connecttype="rect"/>
            </v:shapetype>
            <v:shape id="Text Box 432324849" o:spid="_x0000_s1029" type="#_x0000_t202" alt="Title:  - Description: EBA Regular Use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C3B5B15" w14:textId="0C224026" w:rsidR="0027780B" w:rsidRPr="0027780B" w:rsidRDefault="0027780B" w:rsidP="0027780B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>running title comes here in running title style</w:t>
    </w:r>
    <w:r>
      <w:rPr>
        <w:noProof/>
      </w:rPr>
      <w:drawing>
        <wp:anchor distT="0" distB="0" distL="114300" distR="114300" simplePos="0" relativeHeight="251658243" behindDoc="1" locked="1" layoutInCell="1" allowOverlap="0" wp14:anchorId="5EAA129E" wp14:editId="3D991DAD">
          <wp:simplePos x="0" y="0"/>
          <wp:positionH relativeFrom="page">
            <wp:posOffset>4702175</wp:posOffset>
          </wp:positionH>
          <wp:positionV relativeFrom="page">
            <wp:posOffset>450215</wp:posOffset>
          </wp:positionV>
          <wp:extent cx="1941830" cy="71945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1830" cy="7194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clsh="http://schemas.microsoft.com/office/drawing/2020/classificationShape" xmlns:a14="http://schemas.microsoft.com/office/drawing/2010/main"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 val="1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24E39"/>
    <w:multiLevelType w:val="hybridMultilevel"/>
    <w:tmpl w:val="66CAAE08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5" w15:restartNumberingAfterBreak="0">
    <w:nsid w:val="2C5C0F1C"/>
    <w:multiLevelType w:val="hybridMultilevel"/>
    <w:tmpl w:val="63540D8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5775E"/>
    <w:multiLevelType w:val="hybridMultilevel"/>
    <w:tmpl w:val="D6D2F3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2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C5464B"/>
    <w:multiLevelType w:val="hybridMultilevel"/>
    <w:tmpl w:val="63540D8A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061451">
    <w:abstractNumId w:val="9"/>
  </w:num>
  <w:num w:numId="2" w16cid:durableId="141965833">
    <w:abstractNumId w:val="2"/>
  </w:num>
  <w:num w:numId="3" w16cid:durableId="88088792">
    <w:abstractNumId w:val="6"/>
  </w:num>
  <w:num w:numId="4" w16cid:durableId="1307541357">
    <w:abstractNumId w:val="7"/>
  </w:num>
  <w:num w:numId="5" w16cid:durableId="1430613850">
    <w:abstractNumId w:val="12"/>
  </w:num>
  <w:num w:numId="6" w16cid:durableId="169412179">
    <w:abstractNumId w:val="1"/>
  </w:num>
  <w:num w:numId="7" w16cid:durableId="1086731042">
    <w:abstractNumId w:val="11"/>
  </w:num>
  <w:num w:numId="8" w16cid:durableId="1288317361">
    <w:abstractNumId w:val="10"/>
  </w:num>
  <w:num w:numId="9" w16cid:durableId="896210183">
    <w:abstractNumId w:val="0"/>
  </w:num>
  <w:num w:numId="10" w16cid:durableId="2042047967">
    <w:abstractNumId w:val="4"/>
  </w:num>
  <w:num w:numId="11" w16cid:durableId="109781551">
    <w:abstractNumId w:val="13"/>
  </w:num>
  <w:num w:numId="12" w16cid:durableId="536627485">
    <w:abstractNumId w:val="3"/>
  </w:num>
  <w:num w:numId="13" w16cid:durableId="1634553931">
    <w:abstractNumId w:val="8"/>
  </w:num>
  <w:num w:numId="14" w16cid:durableId="1366056905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removePersonalInformation/>
  <w:removeDateAndTime/>
  <w:embedSystemFonts/>
  <w:activeWritingStyle w:appName="MSWord" w:lang="en-GB" w:vendorID="64" w:dllVersion="0" w:nlCheck="1" w:checkStyle="0"/>
  <w:activeWritingStyle w:appName="MSWord" w:lang="en-US" w:vendorID="64" w:dllVersion="0" w:nlCheck="1" w:checkStyle="0"/>
  <w:proofState w:grammar="clean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EBA GL-REC 20XX XX (FINAL GLS-REC ON"/>
  </w:docVars>
  <w:rsids>
    <w:rsidRoot w:val="006307A5"/>
    <w:rsid w:val="00001873"/>
    <w:rsid w:val="00003F50"/>
    <w:rsid w:val="00004006"/>
    <w:rsid w:val="00004C00"/>
    <w:rsid w:val="000056A3"/>
    <w:rsid w:val="000073FA"/>
    <w:rsid w:val="00007B41"/>
    <w:rsid w:val="00013281"/>
    <w:rsid w:val="00015DE4"/>
    <w:rsid w:val="000217A7"/>
    <w:rsid w:val="000231B7"/>
    <w:rsid w:val="0002717D"/>
    <w:rsid w:val="00027A8A"/>
    <w:rsid w:val="00027CA0"/>
    <w:rsid w:val="00030D65"/>
    <w:rsid w:val="000342B5"/>
    <w:rsid w:val="00040129"/>
    <w:rsid w:val="0004077E"/>
    <w:rsid w:val="00042D8C"/>
    <w:rsid w:val="00043699"/>
    <w:rsid w:val="000506BF"/>
    <w:rsid w:val="00052C7E"/>
    <w:rsid w:val="00060F40"/>
    <w:rsid w:val="00061962"/>
    <w:rsid w:val="00062830"/>
    <w:rsid w:val="00062937"/>
    <w:rsid w:val="00066A9A"/>
    <w:rsid w:val="000702C6"/>
    <w:rsid w:val="000741FC"/>
    <w:rsid w:val="00075A38"/>
    <w:rsid w:val="000762E4"/>
    <w:rsid w:val="000774B3"/>
    <w:rsid w:val="00083C33"/>
    <w:rsid w:val="000843CD"/>
    <w:rsid w:val="00084EED"/>
    <w:rsid w:val="000A0C89"/>
    <w:rsid w:val="000A1AF7"/>
    <w:rsid w:val="000A1C81"/>
    <w:rsid w:val="000A2565"/>
    <w:rsid w:val="000A3851"/>
    <w:rsid w:val="000A6AA0"/>
    <w:rsid w:val="000B0073"/>
    <w:rsid w:val="000B1645"/>
    <w:rsid w:val="000B2958"/>
    <w:rsid w:val="000B577F"/>
    <w:rsid w:val="000B6FE2"/>
    <w:rsid w:val="000C0FAB"/>
    <w:rsid w:val="000C12C4"/>
    <w:rsid w:val="000C288C"/>
    <w:rsid w:val="000C2FF5"/>
    <w:rsid w:val="000C3CA2"/>
    <w:rsid w:val="000C443B"/>
    <w:rsid w:val="000C5A8A"/>
    <w:rsid w:val="000C7FD8"/>
    <w:rsid w:val="000D1FC3"/>
    <w:rsid w:val="000D2C09"/>
    <w:rsid w:val="000D3626"/>
    <w:rsid w:val="000D7A44"/>
    <w:rsid w:val="000E0601"/>
    <w:rsid w:val="000E0A11"/>
    <w:rsid w:val="000E0C27"/>
    <w:rsid w:val="000E2995"/>
    <w:rsid w:val="000E6D15"/>
    <w:rsid w:val="000E6E57"/>
    <w:rsid w:val="000E7CA8"/>
    <w:rsid w:val="000F14B4"/>
    <w:rsid w:val="000F33D3"/>
    <w:rsid w:val="000F3E72"/>
    <w:rsid w:val="000F607B"/>
    <w:rsid w:val="000F6495"/>
    <w:rsid w:val="000F6FD8"/>
    <w:rsid w:val="000F7E65"/>
    <w:rsid w:val="0010293F"/>
    <w:rsid w:val="00103770"/>
    <w:rsid w:val="00105DF4"/>
    <w:rsid w:val="00106155"/>
    <w:rsid w:val="001061FA"/>
    <w:rsid w:val="0010678E"/>
    <w:rsid w:val="0011148D"/>
    <w:rsid w:val="0011517F"/>
    <w:rsid w:val="00120BFF"/>
    <w:rsid w:val="00121BB0"/>
    <w:rsid w:val="00121E46"/>
    <w:rsid w:val="0012686C"/>
    <w:rsid w:val="0013090C"/>
    <w:rsid w:val="00130FA3"/>
    <w:rsid w:val="00131C5D"/>
    <w:rsid w:val="00133A78"/>
    <w:rsid w:val="00134548"/>
    <w:rsid w:val="001359DC"/>
    <w:rsid w:val="00142ACD"/>
    <w:rsid w:val="00142DF6"/>
    <w:rsid w:val="00145D24"/>
    <w:rsid w:val="00152832"/>
    <w:rsid w:val="00154596"/>
    <w:rsid w:val="001600FC"/>
    <w:rsid w:val="00161BBB"/>
    <w:rsid w:val="0016228C"/>
    <w:rsid w:val="0016240C"/>
    <w:rsid w:val="001639AB"/>
    <w:rsid w:val="00164483"/>
    <w:rsid w:val="00164D85"/>
    <w:rsid w:val="0016737A"/>
    <w:rsid w:val="00172007"/>
    <w:rsid w:val="0017402D"/>
    <w:rsid w:val="0017446F"/>
    <w:rsid w:val="00175A35"/>
    <w:rsid w:val="00176507"/>
    <w:rsid w:val="00177CB9"/>
    <w:rsid w:val="001834D4"/>
    <w:rsid w:val="00184C36"/>
    <w:rsid w:val="00184DBF"/>
    <w:rsid w:val="00185A6A"/>
    <w:rsid w:val="0018684A"/>
    <w:rsid w:val="00192287"/>
    <w:rsid w:val="001941AA"/>
    <w:rsid w:val="00194E93"/>
    <w:rsid w:val="001A016C"/>
    <w:rsid w:val="001A0C8D"/>
    <w:rsid w:val="001A2A81"/>
    <w:rsid w:val="001A32A3"/>
    <w:rsid w:val="001A485F"/>
    <w:rsid w:val="001A5BD4"/>
    <w:rsid w:val="001A70A8"/>
    <w:rsid w:val="001B05D2"/>
    <w:rsid w:val="001B2C0D"/>
    <w:rsid w:val="001B6017"/>
    <w:rsid w:val="001B74BE"/>
    <w:rsid w:val="001B7A0B"/>
    <w:rsid w:val="001B7EB3"/>
    <w:rsid w:val="001C1FD9"/>
    <w:rsid w:val="001C5898"/>
    <w:rsid w:val="001C5BC2"/>
    <w:rsid w:val="001C76ED"/>
    <w:rsid w:val="001D0179"/>
    <w:rsid w:val="001D1571"/>
    <w:rsid w:val="001D21C1"/>
    <w:rsid w:val="001D31DA"/>
    <w:rsid w:val="001D5526"/>
    <w:rsid w:val="001D6C9A"/>
    <w:rsid w:val="001D6D9D"/>
    <w:rsid w:val="001D6E22"/>
    <w:rsid w:val="001D723A"/>
    <w:rsid w:val="001E0565"/>
    <w:rsid w:val="001E057E"/>
    <w:rsid w:val="001E08AC"/>
    <w:rsid w:val="001E1188"/>
    <w:rsid w:val="001E2AB8"/>
    <w:rsid w:val="001E3599"/>
    <w:rsid w:val="001E4698"/>
    <w:rsid w:val="001E69E6"/>
    <w:rsid w:val="001E7B53"/>
    <w:rsid w:val="001F0720"/>
    <w:rsid w:val="001F13DC"/>
    <w:rsid w:val="001F18AA"/>
    <w:rsid w:val="001F1CB9"/>
    <w:rsid w:val="001F7501"/>
    <w:rsid w:val="00201A16"/>
    <w:rsid w:val="00205139"/>
    <w:rsid w:val="00205878"/>
    <w:rsid w:val="00206BB0"/>
    <w:rsid w:val="00210E2C"/>
    <w:rsid w:val="00212EDF"/>
    <w:rsid w:val="00213D7B"/>
    <w:rsid w:val="00214DEC"/>
    <w:rsid w:val="00214F4F"/>
    <w:rsid w:val="00217B92"/>
    <w:rsid w:val="00223D0E"/>
    <w:rsid w:val="00224293"/>
    <w:rsid w:val="00224761"/>
    <w:rsid w:val="00224A3F"/>
    <w:rsid w:val="00224D96"/>
    <w:rsid w:val="00226B9B"/>
    <w:rsid w:val="002306C7"/>
    <w:rsid w:val="00232DF5"/>
    <w:rsid w:val="00234E59"/>
    <w:rsid w:val="0023633E"/>
    <w:rsid w:val="0023741B"/>
    <w:rsid w:val="00241BD8"/>
    <w:rsid w:val="0024304A"/>
    <w:rsid w:val="002434B0"/>
    <w:rsid w:val="002450CC"/>
    <w:rsid w:val="002510D0"/>
    <w:rsid w:val="00251280"/>
    <w:rsid w:val="00251512"/>
    <w:rsid w:val="00251DE4"/>
    <w:rsid w:val="00252479"/>
    <w:rsid w:val="00254CA9"/>
    <w:rsid w:val="00256D24"/>
    <w:rsid w:val="00260404"/>
    <w:rsid w:val="0026213C"/>
    <w:rsid w:val="002628B6"/>
    <w:rsid w:val="00265F47"/>
    <w:rsid w:val="00266F94"/>
    <w:rsid w:val="0027039C"/>
    <w:rsid w:val="00270ACA"/>
    <w:rsid w:val="0027418E"/>
    <w:rsid w:val="0027618C"/>
    <w:rsid w:val="00276344"/>
    <w:rsid w:val="002767AA"/>
    <w:rsid w:val="0027780B"/>
    <w:rsid w:val="002804A6"/>
    <w:rsid w:val="0028290C"/>
    <w:rsid w:val="00290DA3"/>
    <w:rsid w:val="002921F0"/>
    <w:rsid w:val="00296C53"/>
    <w:rsid w:val="00297D03"/>
    <w:rsid w:val="00297DC1"/>
    <w:rsid w:val="002A0424"/>
    <w:rsid w:val="002A0FF0"/>
    <w:rsid w:val="002A1EA1"/>
    <w:rsid w:val="002A3A19"/>
    <w:rsid w:val="002A5A3D"/>
    <w:rsid w:val="002B03F9"/>
    <w:rsid w:val="002B2D10"/>
    <w:rsid w:val="002B49DB"/>
    <w:rsid w:val="002C0DCF"/>
    <w:rsid w:val="002C2DE0"/>
    <w:rsid w:val="002C308A"/>
    <w:rsid w:val="002D1867"/>
    <w:rsid w:val="002D56B7"/>
    <w:rsid w:val="002D6BCB"/>
    <w:rsid w:val="002D794E"/>
    <w:rsid w:val="002E327A"/>
    <w:rsid w:val="002E6DC0"/>
    <w:rsid w:val="002E7F52"/>
    <w:rsid w:val="002F09E7"/>
    <w:rsid w:val="002F110A"/>
    <w:rsid w:val="002F2009"/>
    <w:rsid w:val="002F22FB"/>
    <w:rsid w:val="002F661B"/>
    <w:rsid w:val="002F6FCE"/>
    <w:rsid w:val="002F7090"/>
    <w:rsid w:val="00300859"/>
    <w:rsid w:val="00300924"/>
    <w:rsid w:val="003023DA"/>
    <w:rsid w:val="003025A8"/>
    <w:rsid w:val="003048B1"/>
    <w:rsid w:val="003062CB"/>
    <w:rsid w:val="00306353"/>
    <w:rsid w:val="00311D86"/>
    <w:rsid w:val="003129B6"/>
    <w:rsid w:val="00313821"/>
    <w:rsid w:val="00314D1B"/>
    <w:rsid w:val="00314D6E"/>
    <w:rsid w:val="0031645C"/>
    <w:rsid w:val="00320C17"/>
    <w:rsid w:val="00320E57"/>
    <w:rsid w:val="003221EF"/>
    <w:rsid w:val="00322481"/>
    <w:rsid w:val="00322C23"/>
    <w:rsid w:val="003248A2"/>
    <w:rsid w:val="00324A99"/>
    <w:rsid w:val="003266E0"/>
    <w:rsid w:val="003318B0"/>
    <w:rsid w:val="003333C5"/>
    <w:rsid w:val="00340244"/>
    <w:rsid w:val="00342529"/>
    <w:rsid w:val="00345633"/>
    <w:rsid w:val="00345981"/>
    <w:rsid w:val="00350D0D"/>
    <w:rsid w:val="0035477B"/>
    <w:rsid w:val="003569C1"/>
    <w:rsid w:val="003604AA"/>
    <w:rsid w:val="0036089C"/>
    <w:rsid w:val="003627BA"/>
    <w:rsid w:val="0036575F"/>
    <w:rsid w:val="00372BEC"/>
    <w:rsid w:val="00373BAF"/>
    <w:rsid w:val="00373E86"/>
    <w:rsid w:val="00374FD3"/>
    <w:rsid w:val="0038076A"/>
    <w:rsid w:val="0038077E"/>
    <w:rsid w:val="00385292"/>
    <w:rsid w:val="00387480"/>
    <w:rsid w:val="00392385"/>
    <w:rsid w:val="00394697"/>
    <w:rsid w:val="00395966"/>
    <w:rsid w:val="003A1224"/>
    <w:rsid w:val="003A34CB"/>
    <w:rsid w:val="003A4578"/>
    <w:rsid w:val="003A6482"/>
    <w:rsid w:val="003A7221"/>
    <w:rsid w:val="003A7A56"/>
    <w:rsid w:val="003B011B"/>
    <w:rsid w:val="003B1B0D"/>
    <w:rsid w:val="003B4C84"/>
    <w:rsid w:val="003B6056"/>
    <w:rsid w:val="003B6A5A"/>
    <w:rsid w:val="003B7D75"/>
    <w:rsid w:val="003B7F86"/>
    <w:rsid w:val="003C0305"/>
    <w:rsid w:val="003C095D"/>
    <w:rsid w:val="003C2B40"/>
    <w:rsid w:val="003C344A"/>
    <w:rsid w:val="003C6475"/>
    <w:rsid w:val="003C7467"/>
    <w:rsid w:val="003D01F8"/>
    <w:rsid w:val="003D04AB"/>
    <w:rsid w:val="003D0CE1"/>
    <w:rsid w:val="003D1ACD"/>
    <w:rsid w:val="003D2A27"/>
    <w:rsid w:val="003D6DC8"/>
    <w:rsid w:val="003D76CC"/>
    <w:rsid w:val="003D7A72"/>
    <w:rsid w:val="003E23AF"/>
    <w:rsid w:val="003E318D"/>
    <w:rsid w:val="003E39E7"/>
    <w:rsid w:val="003E5177"/>
    <w:rsid w:val="003F0789"/>
    <w:rsid w:val="003F28A7"/>
    <w:rsid w:val="003F4403"/>
    <w:rsid w:val="003F52D3"/>
    <w:rsid w:val="003F6D72"/>
    <w:rsid w:val="004028C0"/>
    <w:rsid w:val="00403AA2"/>
    <w:rsid w:val="00406D59"/>
    <w:rsid w:val="00407991"/>
    <w:rsid w:val="00412567"/>
    <w:rsid w:val="004131BA"/>
    <w:rsid w:val="00417272"/>
    <w:rsid w:val="004172D1"/>
    <w:rsid w:val="00424530"/>
    <w:rsid w:val="0042486A"/>
    <w:rsid w:val="00425CE3"/>
    <w:rsid w:val="00426518"/>
    <w:rsid w:val="00431B48"/>
    <w:rsid w:val="00433C8C"/>
    <w:rsid w:val="00434252"/>
    <w:rsid w:val="0043432B"/>
    <w:rsid w:val="0043577F"/>
    <w:rsid w:val="0043675A"/>
    <w:rsid w:val="004409EF"/>
    <w:rsid w:val="004418CC"/>
    <w:rsid w:val="00441F85"/>
    <w:rsid w:val="00443D51"/>
    <w:rsid w:val="004442A4"/>
    <w:rsid w:val="004445D4"/>
    <w:rsid w:val="0044697D"/>
    <w:rsid w:val="004477A6"/>
    <w:rsid w:val="00451E45"/>
    <w:rsid w:val="00452468"/>
    <w:rsid w:val="0045301B"/>
    <w:rsid w:val="004541F3"/>
    <w:rsid w:val="00455E0E"/>
    <w:rsid w:val="004600F5"/>
    <w:rsid w:val="0046097D"/>
    <w:rsid w:val="00464BF3"/>
    <w:rsid w:val="00465925"/>
    <w:rsid w:val="0046610B"/>
    <w:rsid w:val="00466839"/>
    <w:rsid w:val="00466A4A"/>
    <w:rsid w:val="00470936"/>
    <w:rsid w:val="004719B4"/>
    <w:rsid w:val="00471CA1"/>
    <w:rsid w:val="00471CCE"/>
    <w:rsid w:val="0047368B"/>
    <w:rsid w:val="00474D9D"/>
    <w:rsid w:val="0047512D"/>
    <w:rsid w:val="00476A9A"/>
    <w:rsid w:val="0047767E"/>
    <w:rsid w:val="00480F97"/>
    <w:rsid w:val="00481A65"/>
    <w:rsid w:val="00481AC4"/>
    <w:rsid w:val="00482FB6"/>
    <w:rsid w:val="0048376A"/>
    <w:rsid w:val="00483809"/>
    <w:rsid w:val="004919C9"/>
    <w:rsid w:val="004920DA"/>
    <w:rsid w:val="0049216F"/>
    <w:rsid w:val="004935C1"/>
    <w:rsid w:val="00495403"/>
    <w:rsid w:val="004955E7"/>
    <w:rsid w:val="0049781D"/>
    <w:rsid w:val="004A2F42"/>
    <w:rsid w:val="004A48EF"/>
    <w:rsid w:val="004A5BCD"/>
    <w:rsid w:val="004A5D8B"/>
    <w:rsid w:val="004A7965"/>
    <w:rsid w:val="004B15C1"/>
    <w:rsid w:val="004B1A05"/>
    <w:rsid w:val="004B2FC0"/>
    <w:rsid w:val="004B3092"/>
    <w:rsid w:val="004B6C03"/>
    <w:rsid w:val="004B7517"/>
    <w:rsid w:val="004B7784"/>
    <w:rsid w:val="004C098A"/>
    <w:rsid w:val="004C1B19"/>
    <w:rsid w:val="004C320A"/>
    <w:rsid w:val="004C6290"/>
    <w:rsid w:val="004C6392"/>
    <w:rsid w:val="004D0F6F"/>
    <w:rsid w:val="004D3523"/>
    <w:rsid w:val="004D4296"/>
    <w:rsid w:val="004D5411"/>
    <w:rsid w:val="004D7668"/>
    <w:rsid w:val="004E405B"/>
    <w:rsid w:val="004F09DC"/>
    <w:rsid w:val="004F0AB6"/>
    <w:rsid w:val="004F5AB7"/>
    <w:rsid w:val="004F63DB"/>
    <w:rsid w:val="004F7817"/>
    <w:rsid w:val="00501BEB"/>
    <w:rsid w:val="00501CEC"/>
    <w:rsid w:val="00503FF9"/>
    <w:rsid w:val="00505066"/>
    <w:rsid w:val="00505C64"/>
    <w:rsid w:val="005105EF"/>
    <w:rsid w:val="00510D82"/>
    <w:rsid w:val="00511500"/>
    <w:rsid w:val="005125AD"/>
    <w:rsid w:val="005126F5"/>
    <w:rsid w:val="005171B3"/>
    <w:rsid w:val="00517BBF"/>
    <w:rsid w:val="00523895"/>
    <w:rsid w:val="00525C7A"/>
    <w:rsid w:val="0052763F"/>
    <w:rsid w:val="00527FB3"/>
    <w:rsid w:val="00533F26"/>
    <w:rsid w:val="00536FBE"/>
    <w:rsid w:val="005410AB"/>
    <w:rsid w:val="00541265"/>
    <w:rsid w:val="00541335"/>
    <w:rsid w:val="0054260F"/>
    <w:rsid w:val="005439FD"/>
    <w:rsid w:val="00543A44"/>
    <w:rsid w:val="00553275"/>
    <w:rsid w:val="00553DB4"/>
    <w:rsid w:val="00561663"/>
    <w:rsid w:val="00563DEC"/>
    <w:rsid w:val="00565691"/>
    <w:rsid w:val="005672ED"/>
    <w:rsid w:val="005673AC"/>
    <w:rsid w:val="00570BC9"/>
    <w:rsid w:val="00571BB6"/>
    <w:rsid w:val="00574FB1"/>
    <w:rsid w:val="00575BA7"/>
    <w:rsid w:val="00576FC0"/>
    <w:rsid w:val="00582AA7"/>
    <w:rsid w:val="005838AA"/>
    <w:rsid w:val="0058477C"/>
    <w:rsid w:val="0058568F"/>
    <w:rsid w:val="00590908"/>
    <w:rsid w:val="00591A53"/>
    <w:rsid w:val="00591C4C"/>
    <w:rsid w:val="00592DF9"/>
    <w:rsid w:val="00593D83"/>
    <w:rsid w:val="00594B24"/>
    <w:rsid w:val="00596AA4"/>
    <w:rsid w:val="005A079D"/>
    <w:rsid w:val="005A5866"/>
    <w:rsid w:val="005A6911"/>
    <w:rsid w:val="005A7992"/>
    <w:rsid w:val="005B01DA"/>
    <w:rsid w:val="005B4448"/>
    <w:rsid w:val="005B5C09"/>
    <w:rsid w:val="005B7D63"/>
    <w:rsid w:val="005C1518"/>
    <w:rsid w:val="005C3DFF"/>
    <w:rsid w:val="005C498B"/>
    <w:rsid w:val="005C590A"/>
    <w:rsid w:val="005C6101"/>
    <w:rsid w:val="005D19A9"/>
    <w:rsid w:val="005D4005"/>
    <w:rsid w:val="005D40D1"/>
    <w:rsid w:val="005D7532"/>
    <w:rsid w:val="005E1C7D"/>
    <w:rsid w:val="005E2634"/>
    <w:rsid w:val="005E4224"/>
    <w:rsid w:val="005E4920"/>
    <w:rsid w:val="005E6D2B"/>
    <w:rsid w:val="005F0534"/>
    <w:rsid w:val="005F174F"/>
    <w:rsid w:val="005F3D24"/>
    <w:rsid w:val="005F41FE"/>
    <w:rsid w:val="005F5A3E"/>
    <w:rsid w:val="005F6F2A"/>
    <w:rsid w:val="005F76FB"/>
    <w:rsid w:val="00600900"/>
    <w:rsid w:val="006017FA"/>
    <w:rsid w:val="00601D17"/>
    <w:rsid w:val="006034D4"/>
    <w:rsid w:val="00603ADA"/>
    <w:rsid w:val="006042D1"/>
    <w:rsid w:val="006059B2"/>
    <w:rsid w:val="00606B03"/>
    <w:rsid w:val="00606EE4"/>
    <w:rsid w:val="00610305"/>
    <w:rsid w:val="00610419"/>
    <w:rsid w:val="00611D91"/>
    <w:rsid w:val="00611DDB"/>
    <w:rsid w:val="00612C7B"/>
    <w:rsid w:val="006133C5"/>
    <w:rsid w:val="00615CA4"/>
    <w:rsid w:val="00620784"/>
    <w:rsid w:val="006209BD"/>
    <w:rsid w:val="0062111F"/>
    <w:rsid w:val="006223C9"/>
    <w:rsid w:val="006224C1"/>
    <w:rsid w:val="00622726"/>
    <w:rsid w:val="00623545"/>
    <w:rsid w:val="00623C5B"/>
    <w:rsid w:val="00625C96"/>
    <w:rsid w:val="006269B7"/>
    <w:rsid w:val="00627DCB"/>
    <w:rsid w:val="00627FC1"/>
    <w:rsid w:val="006307A5"/>
    <w:rsid w:val="0063335C"/>
    <w:rsid w:val="00633DC7"/>
    <w:rsid w:val="00636E1D"/>
    <w:rsid w:val="0063793A"/>
    <w:rsid w:val="006400F5"/>
    <w:rsid w:val="0064190D"/>
    <w:rsid w:val="00644017"/>
    <w:rsid w:val="00653220"/>
    <w:rsid w:val="006533A0"/>
    <w:rsid w:val="00655112"/>
    <w:rsid w:val="006638CD"/>
    <w:rsid w:val="00663B0A"/>
    <w:rsid w:val="006641F8"/>
    <w:rsid w:val="00665FCD"/>
    <w:rsid w:val="006671A5"/>
    <w:rsid w:val="00670254"/>
    <w:rsid w:val="00670783"/>
    <w:rsid w:val="00675E0A"/>
    <w:rsid w:val="00676CF2"/>
    <w:rsid w:val="00676D73"/>
    <w:rsid w:val="00677194"/>
    <w:rsid w:val="00680674"/>
    <w:rsid w:val="00680D1E"/>
    <w:rsid w:val="00680E3F"/>
    <w:rsid w:val="00681361"/>
    <w:rsid w:val="00683B79"/>
    <w:rsid w:val="00685F5A"/>
    <w:rsid w:val="006910AF"/>
    <w:rsid w:val="00692B9F"/>
    <w:rsid w:val="006973AC"/>
    <w:rsid w:val="006A0D6A"/>
    <w:rsid w:val="006A6637"/>
    <w:rsid w:val="006A73AB"/>
    <w:rsid w:val="006B06BF"/>
    <w:rsid w:val="006B10D4"/>
    <w:rsid w:val="006B5580"/>
    <w:rsid w:val="006C186D"/>
    <w:rsid w:val="006C6A86"/>
    <w:rsid w:val="006C7BB8"/>
    <w:rsid w:val="006D0C7F"/>
    <w:rsid w:val="006D2245"/>
    <w:rsid w:val="006D42F8"/>
    <w:rsid w:val="006D5065"/>
    <w:rsid w:val="006D7393"/>
    <w:rsid w:val="006E206F"/>
    <w:rsid w:val="006E29E8"/>
    <w:rsid w:val="006E48FA"/>
    <w:rsid w:val="006E55E1"/>
    <w:rsid w:val="006E5B84"/>
    <w:rsid w:val="006F0B70"/>
    <w:rsid w:val="006F2E13"/>
    <w:rsid w:val="006F445D"/>
    <w:rsid w:val="006F4922"/>
    <w:rsid w:val="006F6F6D"/>
    <w:rsid w:val="006F72C6"/>
    <w:rsid w:val="007018D2"/>
    <w:rsid w:val="00703E4E"/>
    <w:rsid w:val="00706CF4"/>
    <w:rsid w:val="007071C6"/>
    <w:rsid w:val="00711E1C"/>
    <w:rsid w:val="00712D2C"/>
    <w:rsid w:val="00713A7D"/>
    <w:rsid w:val="00714810"/>
    <w:rsid w:val="007151EA"/>
    <w:rsid w:val="00717FE9"/>
    <w:rsid w:val="00721FBA"/>
    <w:rsid w:val="007226EB"/>
    <w:rsid w:val="00730352"/>
    <w:rsid w:val="00731F9A"/>
    <w:rsid w:val="0073246F"/>
    <w:rsid w:val="00733C3F"/>
    <w:rsid w:val="007354E5"/>
    <w:rsid w:val="007357CA"/>
    <w:rsid w:val="00736195"/>
    <w:rsid w:val="00736A3F"/>
    <w:rsid w:val="00742839"/>
    <w:rsid w:val="00743C39"/>
    <w:rsid w:val="00752608"/>
    <w:rsid w:val="00752710"/>
    <w:rsid w:val="0075400D"/>
    <w:rsid w:val="00755505"/>
    <w:rsid w:val="0076078D"/>
    <w:rsid w:val="007614BF"/>
    <w:rsid w:val="0076316D"/>
    <w:rsid w:val="00763FA2"/>
    <w:rsid w:val="0076778A"/>
    <w:rsid w:val="007710B9"/>
    <w:rsid w:val="00772993"/>
    <w:rsid w:val="007729F2"/>
    <w:rsid w:val="00780BF0"/>
    <w:rsid w:val="007815FB"/>
    <w:rsid w:val="00781D80"/>
    <w:rsid w:val="007849A0"/>
    <w:rsid w:val="00786B1B"/>
    <w:rsid w:val="00787592"/>
    <w:rsid w:val="00791DE5"/>
    <w:rsid w:val="007934A8"/>
    <w:rsid w:val="00794978"/>
    <w:rsid w:val="00795E18"/>
    <w:rsid w:val="007A0054"/>
    <w:rsid w:val="007A2A87"/>
    <w:rsid w:val="007A3415"/>
    <w:rsid w:val="007A38F2"/>
    <w:rsid w:val="007A3CAA"/>
    <w:rsid w:val="007A44A6"/>
    <w:rsid w:val="007A5353"/>
    <w:rsid w:val="007A5532"/>
    <w:rsid w:val="007A57D6"/>
    <w:rsid w:val="007A588E"/>
    <w:rsid w:val="007A6B0E"/>
    <w:rsid w:val="007B0F28"/>
    <w:rsid w:val="007B1A6B"/>
    <w:rsid w:val="007B3D63"/>
    <w:rsid w:val="007B50BA"/>
    <w:rsid w:val="007B59DF"/>
    <w:rsid w:val="007B69D6"/>
    <w:rsid w:val="007B72C6"/>
    <w:rsid w:val="007C0C36"/>
    <w:rsid w:val="007C3CD2"/>
    <w:rsid w:val="007C4FBD"/>
    <w:rsid w:val="007C55D0"/>
    <w:rsid w:val="007D0398"/>
    <w:rsid w:val="007D2FDE"/>
    <w:rsid w:val="007D4586"/>
    <w:rsid w:val="007D5D17"/>
    <w:rsid w:val="007E14C6"/>
    <w:rsid w:val="007E17FF"/>
    <w:rsid w:val="007E39E1"/>
    <w:rsid w:val="007E57CE"/>
    <w:rsid w:val="007E5E10"/>
    <w:rsid w:val="007E682F"/>
    <w:rsid w:val="007E6BF0"/>
    <w:rsid w:val="007E6DEC"/>
    <w:rsid w:val="007E702D"/>
    <w:rsid w:val="007E7246"/>
    <w:rsid w:val="007F3334"/>
    <w:rsid w:val="007F34CD"/>
    <w:rsid w:val="008033A1"/>
    <w:rsid w:val="00804563"/>
    <w:rsid w:val="008046A4"/>
    <w:rsid w:val="00804837"/>
    <w:rsid w:val="00805A13"/>
    <w:rsid w:val="008073A2"/>
    <w:rsid w:val="00807D6D"/>
    <w:rsid w:val="00807DFB"/>
    <w:rsid w:val="00810F8E"/>
    <w:rsid w:val="008123E1"/>
    <w:rsid w:val="00813BAC"/>
    <w:rsid w:val="00813CD4"/>
    <w:rsid w:val="008154B5"/>
    <w:rsid w:val="00821B9D"/>
    <w:rsid w:val="00822290"/>
    <w:rsid w:val="008229B8"/>
    <w:rsid w:val="00823FF9"/>
    <w:rsid w:val="00843082"/>
    <w:rsid w:val="00843373"/>
    <w:rsid w:val="008442B5"/>
    <w:rsid w:val="0084468C"/>
    <w:rsid w:val="00844EE2"/>
    <w:rsid w:val="008461B5"/>
    <w:rsid w:val="00846679"/>
    <w:rsid w:val="0084690A"/>
    <w:rsid w:val="00846C63"/>
    <w:rsid w:val="00846ECC"/>
    <w:rsid w:val="0085041F"/>
    <w:rsid w:val="00850CDC"/>
    <w:rsid w:val="00851DC4"/>
    <w:rsid w:val="008539BB"/>
    <w:rsid w:val="00854452"/>
    <w:rsid w:val="008552A0"/>
    <w:rsid w:val="008559E8"/>
    <w:rsid w:val="00856198"/>
    <w:rsid w:val="008564DC"/>
    <w:rsid w:val="00857E6D"/>
    <w:rsid w:val="008611E4"/>
    <w:rsid w:val="00862D23"/>
    <w:rsid w:val="00863BC3"/>
    <w:rsid w:val="00864E4F"/>
    <w:rsid w:val="00865492"/>
    <w:rsid w:val="00867CB4"/>
    <w:rsid w:val="008708AB"/>
    <w:rsid w:val="00874ED5"/>
    <w:rsid w:val="00880377"/>
    <w:rsid w:val="008810BC"/>
    <w:rsid w:val="008842C4"/>
    <w:rsid w:val="00884C95"/>
    <w:rsid w:val="00884EF0"/>
    <w:rsid w:val="008903CA"/>
    <w:rsid w:val="00890795"/>
    <w:rsid w:val="008909DA"/>
    <w:rsid w:val="00894D09"/>
    <w:rsid w:val="00897B43"/>
    <w:rsid w:val="00897CC1"/>
    <w:rsid w:val="008A13D3"/>
    <w:rsid w:val="008A2331"/>
    <w:rsid w:val="008A3B4F"/>
    <w:rsid w:val="008A40BC"/>
    <w:rsid w:val="008A4E04"/>
    <w:rsid w:val="008A571B"/>
    <w:rsid w:val="008B0845"/>
    <w:rsid w:val="008B094E"/>
    <w:rsid w:val="008B132B"/>
    <w:rsid w:val="008C05FC"/>
    <w:rsid w:val="008C1A94"/>
    <w:rsid w:val="008C27E6"/>
    <w:rsid w:val="008C3358"/>
    <w:rsid w:val="008C513F"/>
    <w:rsid w:val="008C5B82"/>
    <w:rsid w:val="008C6A4E"/>
    <w:rsid w:val="008D7CD4"/>
    <w:rsid w:val="008E3D64"/>
    <w:rsid w:val="008E5CDE"/>
    <w:rsid w:val="008E7C1C"/>
    <w:rsid w:val="008F0F53"/>
    <w:rsid w:val="008F1835"/>
    <w:rsid w:val="008F1BEA"/>
    <w:rsid w:val="008F27B9"/>
    <w:rsid w:val="008F3097"/>
    <w:rsid w:val="008F3908"/>
    <w:rsid w:val="008F44EB"/>
    <w:rsid w:val="009014B6"/>
    <w:rsid w:val="00901F9B"/>
    <w:rsid w:val="00905D8E"/>
    <w:rsid w:val="00906BC5"/>
    <w:rsid w:val="00912882"/>
    <w:rsid w:val="00912895"/>
    <w:rsid w:val="0091584F"/>
    <w:rsid w:val="00916645"/>
    <w:rsid w:val="009210DE"/>
    <w:rsid w:val="0092311E"/>
    <w:rsid w:val="00923509"/>
    <w:rsid w:val="00923D49"/>
    <w:rsid w:val="00924178"/>
    <w:rsid w:val="009273BC"/>
    <w:rsid w:val="00930C30"/>
    <w:rsid w:val="00930D31"/>
    <w:rsid w:val="0093253B"/>
    <w:rsid w:val="00933AEE"/>
    <w:rsid w:val="00935472"/>
    <w:rsid w:val="009357C9"/>
    <w:rsid w:val="00937718"/>
    <w:rsid w:val="00937854"/>
    <w:rsid w:val="0094125D"/>
    <w:rsid w:val="00942645"/>
    <w:rsid w:val="00943B87"/>
    <w:rsid w:val="00943C57"/>
    <w:rsid w:val="009448BC"/>
    <w:rsid w:val="009450B0"/>
    <w:rsid w:val="00946F9F"/>
    <w:rsid w:val="00947B78"/>
    <w:rsid w:val="00950374"/>
    <w:rsid w:val="009531CB"/>
    <w:rsid w:val="00953E50"/>
    <w:rsid w:val="009559E1"/>
    <w:rsid w:val="0096160F"/>
    <w:rsid w:val="0096186C"/>
    <w:rsid w:val="00962BEA"/>
    <w:rsid w:val="00964393"/>
    <w:rsid w:val="009644BA"/>
    <w:rsid w:val="00964B4D"/>
    <w:rsid w:val="00965B6B"/>
    <w:rsid w:val="00965B80"/>
    <w:rsid w:val="00967458"/>
    <w:rsid w:val="00971744"/>
    <w:rsid w:val="00971B4D"/>
    <w:rsid w:val="00973859"/>
    <w:rsid w:val="00974D5B"/>
    <w:rsid w:val="00976E6A"/>
    <w:rsid w:val="00982373"/>
    <w:rsid w:val="00985CC3"/>
    <w:rsid w:val="00987078"/>
    <w:rsid w:val="00990A8A"/>
    <w:rsid w:val="00991278"/>
    <w:rsid w:val="00993B1E"/>
    <w:rsid w:val="00994F04"/>
    <w:rsid w:val="009953F9"/>
    <w:rsid w:val="00997406"/>
    <w:rsid w:val="00997826"/>
    <w:rsid w:val="00997A7B"/>
    <w:rsid w:val="00997A83"/>
    <w:rsid w:val="009A0332"/>
    <w:rsid w:val="009A5D7A"/>
    <w:rsid w:val="009B033C"/>
    <w:rsid w:val="009B1B59"/>
    <w:rsid w:val="009B4C5B"/>
    <w:rsid w:val="009B7766"/>
    <w:rsid w:val="009C0642"/>
    <w:rsid w:val="009C0E7E"/>
    <w:rsid w:val="009C12C9"/>
    <w:rsid w:val="009C1CE7"/>
    <w:rsid w:val="009C3665"/>
    <w:rsid w:val="009C39EE"/>
    <w:rsid w:val="009C3A8F"/>
    <w:rsid w:val="009C5413"/>
    <w:rsid w:val="009C5DAF"/>
    <w:rsid w:val="009D434A"/>
    <w:rsid w:val="009D55F7"/>
    <w:rsid w:val="009D5711"/>
    <w:rsid w:val="009D7D01"/>
    <w:rsid w:val="009D7FCB"/>
    <w:rsid w:val="009E38A2"/>
    <w:rsid w:val="009E4107"/>
    <w:rsid w:val="009E5245"/>
    <w:rsid w:val="009E70EF"/>
    <w:rsid w:val="009E76BE"/>
    <w:rsid w:val="009E79BF"/>
    <w:rsid w:val="009F08F3"/>
    <w:rsid w:val="009F12DA"/>
    <w:rsid w:val="009F3FE6"/>
    <w:rsid w:val="009F4E0E"/>
    <w:rsid w:val="009F53AF"/>
    <w:rsid w:val="009F5B22"/>
    <w:rsid w:val="009F6FF4"/>
    <w:rsid w:val="009F7352"/>
    <w:rsid w:val="00A00793"/>
    <w:rsid w:val="00A00E34"/>
    <w:rsid w:val="00A02491"/>
    <w:rsid w:val="00A0415A"/>
    <w:rsid w:val="00A056AB"/>
    <w:rsid w:val="00A060B7"/>
    <w:rsid w:val="00A062C7"/>
    <w:rsid w:val="00A06A1A"/>
    <w:rsid w:val="00A100CE"/>
    <w:rsid w:val="00A10257"/>
    <w:rsid w:val="00A14332"/>
    <w:rsid w:val="00A17AD1"/>
    <w:rsid w:val="00A2197B"/>
    <w:rsid w:val="00A23608"/>
    <w:rsid w:val="00A25A56"/>
    <w:rsid w:val="00A27B9D"/>
    <w:rsid w:val="00A27D88"/>
    <w:rsid w:val="00A302E3"/>
    <w:rsid w:val="00A304D0"/>
    <w:rsid w:val="00A30AB0"/>
    <w:rsid w:val="00A3253E"/>
    <w:rsid w:val="00A342E8"/>
    <w:rsid w:val="00A36973"/>
    <w:rsid w:val="00A36FE2"/>
    <w:rsid w:val="00A37FED"/>
    <w:rsid w:val="00A40D41"/>
    <w:rsid w:val="00A4409F"/>
    <w:rsid w:val="00A4607D"/>
    <w:rsid w:val="00A53163"/>
    <w:rsid w:val="00A53E7F"/>
    <w:rsid w:val="00A53EC9"/>
    <w:rsid w:val="00A5705B"/>
    <w:rsid w:val="00A60B13"/>
    <w:rsid w:val="00A725D6"/>
    <w:rsid w:val="00A72C70"/>
    <w:rsid w:val="00A72C7D"/>
    <w:rsid w:val="00A74528"/>
    <w:rsid w:val="00A8000F"/>
    <w:rsid w:val="00A81586"/>
    <w:rsid w:val="00A81B96"/>
    <w:rsid w:val="00A83523"/>
    <w:rsid w:val="00A8457F"/>
    <w:rsid w:val="00A84F93"/>
    <w:rsid w:val="00A86C90"/>
    <w:rsid w:val="00A87CC2"/>
    <w:rsid w:val="00A905E9"/>
    <w:rsid w:val="00A91A51"/>
    <w:rsid w:val="00A92440"/>
    <w:rsid w:val="00A92865"/>
    <w:rsid w:val="00A93162"/>
    <w:rsid w:val="00A94A5D"/>
    <w:rsid w:val="00A97D77"/>
    <w:rsid w:val="00AA00C0"/>
    <w:rsid w:val="00AA03D6"/>
    <w:rsid w:val="00AA0895"/>
    <w:rsid w:val="00AA0E9F"/>
    <w:rsid w:val="00AA2947"/>
    <w:rsid w:val="00AA2D5E"/>
    <w:rsid w:val="00AA389B"/>
    <w:rsid w:val="00AA6023"/>
    <w:rsid w:val="00AA71FA"/>
    <w:rsid w:val="00AB104D"/>
    <w:rsid w:val="00AB2476"/>
    <w:rsid w:val="00AB2505"/>
    <w:rsid w:val="00AB2B10"/>
    <w:rsid w:val="00AB3DDB"/>
    <w:rsid w:val="00AB6E04"/>
    <w:rsid w:val="00AC0ADB"/>
    <w:rsid w:val="00AC11EE"/>
    <w:rsid w:val="00AC45A0"/>
    <w:rsid w:val="00AC4750"/>
    <w:rsid w:val="00AD0C73"/>
    <w:rsid w:val="00AD2FD9"/>
    <w:rsid w:val="00AE1A2D"/>
    <w:rsid w:val="00AE46E2"/>
    <w:rsid w:val="00AE5347"/>
    <w:rsid w:val="00AE55F6"/>
    <w:rsid w:val="00AE56DB"/>
    <w:rsid w:val="00AE5E42"/>
    <w:rsid w:val="00AE5F3C"/>
    <w:rsid w:val="00AE70FF"/>
    <w:rsid w:val="00AE79FD"/>
    <w:rsid w:val="00AF30E5"/>
    <w:rsid w:val="00AF4B4A"/>
    <w:rsid w:val="00AF52C9"/>
    <w:rsid w:val="00AF5FB0"/>
    <w:rsid w:val="00AF7442"/>
    <w:rsid w:val="00AF7F7B"/>
    <w:rsid w:val="00B03BF6"/>
    <w:rsid w:val="00B04D5C"/>
    <w:rsid w:val="00B10EE4"/>
    <w:rsid w:val="00B115D7"/>
    <w:rsid w:val="00B11EB1"/>
    <w:rsid w:val="00B13C87"/>
    <w:rsid w:val="00B14F07"/>
    <w:rsid w:val="00B1710D"/>
    <w:rsid w:val="00B213DF"/>
    <w:rsid w:val="00B21D0B"/>
    <w:rsid w:val="00B249FB"/>
    <w:rsid w:val="00B25B60"/>
    <w:rsid w:val="00B32510"/>
    <w:rsid w:val="00B34A4B"/>
    <w:rsid w:val="00B35302"/>
    <w:rsid w:val="00B3595C"/>
    <w:rsid w:val="00B36D5E"/>
    <w:rsid w:val="00B41F41"/>
    <w:rsid w:val="00B424AE"/>
    <w:rsid w:val="00B42808"/>
    <w:rsid w:val="00B43E07"/>
    <w:rsid w:val="00B50218"/>
    <w:rsid w:val="00B526A8"/>
    <w:rsid w:val="00B55FAB"/>
    <w:rsid w:val="00B56B4C"/>
    <w:rsid w:val="00B579BD"/>
    <w:rsid w:val="00B61210"/>
    <w:rsid w:val="00B63E10"/>
    <w:rsid w:val="00B66030"/>
    <w:rsid w:val="00B662F9"/>
    <w:rsid w:val="00B6734E"/>
    <w:rsid w:val="00B702CB"/>
    <w:rsid w:val="00B73040"/>
    <w:rsid w:val="00B75B00"/>
    <w:rsid w:val="00B76198"/>
    <w:rsid w:val="00B80ACA"/>
    <w:rsid w:val="00B813A4"/>
    <w:rsid w:val="00B819E3"/>
    <w:rsid w:val="00B83D9D"/>
    <w:rsid w:val="00B84529"/>
    <w:rsid w:val="00B84C30"/>
    <w:rsid w:val="00B878E1"/>
    <w:rsid w:val="00B94F96"/>
    <w:rsid w:val="00B96F7F"/>
    <w:rsid w:val="00BA25D7"/>
    <w:rsid w:val="00BA414B"/>
    <w:rsid w:val="00BB0828"/>
    <w:rsid w:val="00BB12D8"/>
    <w:rsid w:val="00BB2111"/>
    <w:rsid w:val="00BC0589"/>
    <w:rsid w:val="00BC1BBB"/>
    <w:rsid w:val="00BC3279"/>
    <w:rsid w:val="00BC59E3"/>
    <w:rsid w:val="00BC7FD2"/>
    <w:rsid w:val="00BD1E8E"/>
    <w:rsid w:val="00BD200C"/>
    <w:rsid w:val="00BD36EC"/>
    <w:rsid w:val="00BD47F0"/>
    <w:rsid w:val="00BD6316"/>
    <w:rsid w:val="00BE1BB8"/>
    <w:rsid w:val="00BE47C7"/>
    <w:rsid w:val="00BE5B8B"/>
    <w:rsid w:val="00BF00F2"/>
    <w:rsid w:val="00BF4B43"/>
    <w:rsid w:val="00BF5A15"/>
    <w:rsid w:val="00C03AE7"/>
    <w:rsid w:val="00C05D9D"/>
    <w:rsid w:val="00C06BF3"/>
    <w:rsid w:val="00C07AC6"/>
    <w:rsid w:val="00C1164E"/>
    <w:rsid w:val="00C12FA8"/>
    <w:rsid w:val="00C14801"/>
    <w:rsid w:val="00C17044"/>
    <w:rsid w:val="00C21218"/>
    <w:rsid w:val="00C2380E"/>
    <w:rsid w:val="00C23F0F"/>
    <w:rsid w:val="00C251D2"/>
    <w:rsid w:val="00C261D1"/>
    <w:rsid w:val="00C2685D"/>
    <w:rsid w:val="00C34FA6"/>
    <w:rsid w:val="00C354A5"/>
    <w:rsid w:val="00C35592"/>
    <w:rsid w:val="00C356AF"/>
    <w:rsid w:val="00C41927"/>
    <w:rsid w:val="00C41C25"/>
    <w:rsid w:val="00C423C6"/>
    <w:rsid w:val="00C439D6"/>
    <w:rsid w:val="00C43FD9"/>
    <w:rsid w:val="00C44DCC"/>
    <w:rsid w:val="00C44EB2"/>
    <w:rsid w:val="00C47E8F"/>
    <w:rsid w:val="00C51ABA"/>
    <w:rsid w:val="00C521A7"/>
    <w:rsid w:val="00C54CC8"/>
    <w:rsid w:val="00C57BC4"/>
    <w:rsid w:val="00C57EDE"/>
    <w:rsid w:val="00C60915"/>
    <w:rsid w:val="00C63A7E"/>
    <w:rsid w:val="00C63B7A"/>
    <w:rsid w:val="00C67DA4"/>
    <w:rsid w:val="00C7005A"/>
    <w:rsid w:val="00C764D4"/>
    <w:rsid w:val="00C87617"/>
    <w:rsid w:val="00C90DD3"/>
    <w:rsid w:val="00C95708"/>
    <w:rsid w:val="00C964B8"/>
    <w:rsid w:val="00CA2627"/>
    <w:rsid w:val="00CA41A8"/>
    <w:rsid w:val="00CA749E"/>
    <w:rsid w:val="00CA7700"/>
    <w:rsid w:val="00CB0067"/>
    <w:rsid w:val="00CB18B6"/>
    <w:rsid w:val="00CB1C48"/>
    <w:rsid w:val="00CB380B"/>
    <w:rsid w:val="00CB467F"/>
    <w:rsid w:val="00CB511F"/>
    <w:rsid w:val="00CB7909"/>
    <w:rsid w:val="00CC0DAC"/>
    <w:rsid w:val="00CC3E65"/>
    <w:rsid w:val="00CC7137"/>
    <w:rsid w:val="00CD11FD"/>
    <w:rsid w:val="00CD243A"/>
    <w:rsid w:val="00CD4AF7"/>
    <w:rsid w:val="00CD4C1C"/>
    <w:rsid w:val="00CD5E13"/>
    <w:rsid w:val="00CD5F69"/>
    <w:rsid w:val="00CD62D3"/>
    <w:rsid w:val="00CE10B8"/>
    <w:rsid w:val="00CE1229"/>
    <w:rsid w:val="00CE3517"/>
    <w:rsid w:val="00CE6407"/>
    <w:rsid w:val="00CE65C1"/>
    <w:rsid w:val="00CF720A"/>
    <w:rsid w:val="00D00278"/>
    <w:rsid w:val="00D00E7F"/>
    <w:rsid w:val="00D01670"/>
    <w:rsid w:val="00D0233E"/>
    <w:rsid w:val="00D024C5"/>
    <w:rsid w:val="00D04976"/>
    <w:rsid w:val="00D05C26"/>
    <w:rsid w:val="00D062AC"/>
    <w:rsid w:val="00D07969"/>
    <w:rsid w:val="00D120EF"/>
    <w:rsid w:val="00D152E7"/>
    <w:rsid w:val="00D15B3E"/>
    <w:rsid w:val="00D17AA8"/>
    <w:rsid w:val="00D20D86"/>
    <w:rsid w:val="00D21F91"/>
    <w:rsid w:val="00D22067"/>
    <w:rsid w:val="00D261F9"/>
    <w:rsid w:val="00D26269"/>
    <w:rsid w:val="00D26F4C"/>
    <w:rsid w:val="00D30BB6"/>
    <w:rsid w:val="00D30D10"/>
    <w:rsid w:val="00D32A1C"/>
    <w:rsid w:val="00D32F2E"/>
    <w:rsid w:val="00D33027"/>
    <w:rsid w:val="00D3796C"/>
    <w:rsid w:val="00D37F8C"/>
    <w:rsid w:val="00D425FA"/>
    <w:rsid w:val="00D44360"/>
    <w:rsid w:val="00D44595"/>
    <w:rsid w:val="00D50D2F"/>
    <w:rsid w:val="00D53948"/>
    <w:rsid w:val="00D549B9"/>
    <w:rsid w:val="00D557EE"/>
    <w:rsid w:val="00D56058"/>
    <w:rsid w:val="00D57D71"/>
    <w:rsid w:val="00D57F4B"/>
    <w:rsid w:val="00D61DA2"/>
    <w:rsid w:val="00D6287E"/>
    <w:rsid w:val="00D6324F"/>
    <w:rsid w:val="00D6395D"/>
    <w:rsid w:val="00D656AD"/>
    <w:rsid w:val="00D76E91"/>
    <w:rsid w:val="00D81C3B"/>
    <w:rsid w:val="00D845D4"/>
    <w:rsid w:val="00D84643"/>
    <w:rsid w:val="00D849AA"/>
    <w:rsid w:val="00D84CC9"/>
    <w:rsid w:val="00D872D1"/>
    <w:rsid w:val="00D90463"/>
    <w:rsid w:val="00D906BA"/>
    <w:rsid w:val="00D93652"/>
    <w:rsid w:val="00D93DDB"/>
    <w:rsid w:val="00D97538"/>
    <w:rsid w:val="00D97BBA"/>
    <w:rsid w:val="00DA02D6"/>
    <w:rsid w:val="00DA1988"/>
    <w:rsid w:val="00DA2E87"/>
    <w:rsid w:val="00DA4228"/>
    <w:rsid w:val="00DA44B7"/>
    <w:rsid w:val="00DA6122"/>
    <w:rsid w:val="00DA6D4D"/>
    <w:rsid w:val="00DB0727"/>
    <w:rsid w:val="00DB4809"/>
    <w:rsid w:val="00DB5E8F"/>
    <w:rsid w:val="00DB70BC"/>
    <w:rsid w:val="00DC0972"/>
    <w:rsid w:val="00DC3E99"/>
    <w:rsid w:val="00DC562A"/>
    <w:rsid w:val="00DC7C3E"/>
    <w:rsid w:val="00DD1BAA"/>
    <w:rsid w:val="00DD51C1"/>
    <w:rsid w:val="00DD6E2F"/>
    <w:rsid w:val="00DE1760"/>
    <w:rsid w:val="00DE1979"/>
    <w:rsid w:val="00DE30E0"/>
    <w:rsid w:val="00DE69D4"/>
    <w:rsid w:val="00DF2151"/>
    <w:rsid w:val="00DF3029"/>
    <w:rsid w:val="00DF7364"/>
    <w:rsid w:val="00E017E5"/>
    <w:rsid w:val="00E027E0"/>
    <w:rsid w:val="00E10499"/>
    <w:rsid w:val="00E10D35"/>
    <w:rsid w:val="00E14AA0"/>
    <w:rsid w:val="00E202F8"/>
    <w:rsid w:val="00E20324"/>
    <w:rsid w:val="00E22BCE"/>
    <w:rsid w:val="00E258D8"/>
    <w:rsid w:val="00E326FF"/>
    <w:rsid w:val="00E34B8E"/>
    <w:rsid w:val="00E361B0"/>
    <w:rsid w:val="00E374D9"/>
    <w:rsid w:val="00E37AAC"/>
    <w:rsid w:val="00E41563"/>
    <w:rsid w:val="00E42943"/>
    <w:rsid w:val="00E43903"/>
    <w:rsid w:val="00E44FA7"/>
    <w:rsid w:val="00E4695A"/>
    <w:rsid w:val="00E47207"/>
    <w:rsid w:val="00E50210"/>
    <w:rsid w:val="00E513B6"/>
    <w:rsid w:val="00E52D11"/>
    <w:rsid w:val="00E53A75"/>
    <w:rsid w:val="00E53BA2"/>
    <w:rsid w:val="00E55AB5"/>
    <w:rsid w:val="00E574A1"/>
    <w:rsid w:val="00E60D1B"/>
    <w:rsid w:val="00E61F96"/>
    <w:rsid w:val="00E62DB8"/>
    <w:rsid w:val="00E63010"/>
    <w:rsid w:val="00E653BD"/>
    <w:rsid w:val="00E65948"/>
    <w:rsid w:val="00E65A6D"/>
    <w:rsid w:val="00E677EF"/>
    <w:rsid w:val="00E679D8"/>
    <w:rsid w:val="00E7159B"/>
    <w:rsid w:val="00E71FAE"/>
    <w:rsid w:val="00E72D02"/>
    <w:rsid w:val="00E764BF"/>
    <w:rsid w:val="00E84CFD"/>
    <w:rsid w:val="00E859DF"/>
    <w:rsid w:val="00E859EF"/>
    <w:rsid w:val="00E866CC"/>
    <w:rsid w:val="00E86C84"/>
    <w:rsid w:val="00E87041"/>
    <w:rsid w:val="00E91192"/>
    <w:rsid w:val="00E93B05"/>
    <w:rsid w:val="00E94AED"/>
    <w:rsid w:val="00E95201"/>
    <w:rsid w:val="00E9631E"/>
    <w:rsid w:val="00EA1807"/>
    <w:rsid w:val="00EA2A28"/>
    <w:rsid w:val="00EA2B5D"/>
    <w:rsid w:val="00EA4947"/>
    <w:rsid w:val="00EB0321"/>
    <w:rsid w:val="00EB0731"/>
    <w:rsid w:val="00EC0C41"/>
    <w:rsid w:val="00EC11F0"/>
    <w:rsid w:val="00EC14FA"/>
    <w:rsid w:val="00EC1594"/>
    <w:rsid w:val="00EC1C8C"/>
    <w:rsid w:val="00EC2821"/>
    <w:rsid w:val="00EC3212"/>
    <w:rsid w:val="00EC41C5"/>
    <w:rsid w:val="00EC5FD5"/>
    <w:rsid w:val="00EC679E"/>
    <w:rsid w:val="00ED008A"/>
    <w:rsid w:val="00ED1AC7"/>
    <w:rsid w:val="00ED2521"/>
    <w:rsid w:val="00ED2FB9"/>
    <w:rsid w:val="00ED3BBB"/>
    <w:rsid w:val="00ED6873"/>
    <w:rsid w:val="00ED6F18"/>
    <w:rsid w:val="00ED73EF"/>
    <w:rsid w:val="00EE0C7D"/>
    <w:rsid w:val="00EE2D41"/>
    <w:rsid w:val="00EE456B"/>
    <w:rsid w:val="00EE508D"/>
    <w:rsid w:val="00EE5F4B"/>
    <w:rsid w:val="00EF20A6"/>
    <w:rsid w:val="00EF284B"/>
    <w:rsid w:val="00EF2D2E"/>
    <w:rsid w:val="00EF35BF"/>
    <w:rsid w:val="00EF381C"/>
    <w:rsid w:val="00EF3DEF"/>
    <w:rsid w:val="00EF5780"/>
    <w:rsid w:val="00EF6F05"/>
    <w:rsid w:val="00EF7C61"/>
    <w:rsid w:val="00F00C37"/>
    <w:rsid w:val="00F034AC"/>
    <w:rsid w:val="00F03879"/>
    <w:rsid w:val="00F064E1"/>
    <w:rsid w:val="00F06745"/>
    <w:rsid w:val="00F11167"/>
    <w:rsid w:val="00F12ABF"/>
    <w:rsid w:val="00F1579B"/>
    <w:rsid w:val="00F160D2"/>
    <w:rsid w:val="00F2068C"/>
    <w:rsid w:val="00F20817"/>
    <w:rsid w:val="00F20A4B"/>
    <w:rsid w:val="00F21021"/>
    <w:rsid w:val="00F2110A"/>
    <w:rsid w:val="00F25F24"/>
    <w:rsid w:val="00F2714B"/>
    <w:rsid w:val="00F27241"/>
    <w:rsid w:val="00F274EC"/>
    <w:rsid w:val="00F27C5C"/>
    <w:rsid w:val="00F327C9"/>
    <w:rsid w:val="00F33338"/>
    <w:rsid w:val="00F33E3A"/>
    <w:rsid w:val="00F46594"/>
    <w:rsid w:val="00F4748D"/>
    <w:rsid w:val="00F51143"/>
    <w:rsid w:val="00F53497"/>
    <w:rsid w:val="00F53841"/>
    <w:rsid w:val="00F53B21"/>
    <w:rsid w:val="00F5640E"/>
    <w:rsid w:val="00F612B3"/>
    <w:rsid w:val="00F65344"/>
    <w:rsid w:val="00F653FF"/>
    <w:rsid w:val="00F657C0"/>
    <w:rsid w:val="00F676C1"/>
    <w:rsid w:val="00F7064A"/>
    <w:rsid w:val="00F73AB5"/>
    <w:rsid w:val="00F73EA3"/>
    <w:rsid w:val="00F747AD"/>
    <w:rsid w:val="00F7500F"/>
    <w:rsid w:val="00F84674"/>
    <w:rsid w:val="00F86668"/>
    <w:rsid w:val="00F87C1E"/>
    <w:rsid w:val="00F87D51"/>
    <w:rsid w:val="00F87F11"/>
    <w:rsid w:val="00F91DF5"/>
    <w:rsid w:val="00F93E03"/>
    <w:rsid w:val="00F942CA"/>
    <w:rsid w:val="00F9452C"/>
    <w:rsid w:val="00F94A07"/>
    <w:rsid w:val="00F9657E"/>
    <w:rsid w:val="00FA0964"/>
    <w:rsid w:val="00FA3894"/>
    <w:rsid w:val="00FA53CB"/>
    <w:rsid w:val="00FA690F"/>
    <w:rsid w:val="00FB427D"/>
    <w:rsid w:val="00FB7206"/>
    <w:rsid w:val="00FC1D72"/>
    <w:rsid w:val="00FC2827"/>
    <w:rsid w:val="00FC40CE"/>
    <w:rsid w:val="00FC6041"/>
    <w:rsid w:val="00FC741A"/>
    <w:rsid w:val="00FD464E"/>
    <w:rsid w:val="00FD793E"/>
    <w:rsid w:val="00FE0C92"/>
    <w:rsid w:val="00FE540D"/>
    <w:rsid w:val="00FE5577"/>
    <w:rsid w:val="00FE5B17"/>
    <w:rsid w:val="00FE5EBE"/>
    <w:rsid w:val="00FF089A"/>
    <w:rsid w:val="00FF34CA"/>
    <w:rsid w:val="00FF3979"/>
    <w:rsid w:val="00FF543C"/>
    <w:rsid w:val="00FF741A"/>
    <w:rsid w:val="02AA77A1"/>
    <w:rsid w:val="03E54529"/>
    <w:rsid w:val="04311491"/>
    <w:rsid w:val="07360195"/>
    <w:rsid w:val="09DBB004"/>
    <w:rsid w:val="0AC1B339"/>
    <w:rsid w:val="0C5D839A"/>
    <w:rsid w:val="0DF953FB"/>
    <w:rsid w:val="0FA28100"/>
    <w:rsid w:val="102E20CD"/>
    <w:rsid w:val="17407AB7"/>
    <w:rsid w:val="200FA364"/>
    <w:rsid w:val="225AED24"/>
    <w:rsid w:val="234DE7F0"/>
    <w:rsid w:val="23580508"/>
    <w:rsid w:val="26E697CE"/>
    <w:rsid w:val="278254F7"/>
    <w:rsid w:val="283D5166"/>
    <w:rsid w:val="32740A28"/>
    <w:rsid w:val="33655576"/>
    <w:rsid w:val="350A7E2E"/>
    <w:rsid w:val="3AA3B322"/>
    <w:rsid w:val="3D827714"/>
    <w:rsid w:val="3DAA486B"/>
    <w:rsid w:val="4405926F"/>
    <w:rsid w:val="446A6BC8"/>
    <w:rsid w:val="457AEC61"/>
    <w:rsid w:val="48EB4280"/>
    <w:rsid w:val="49222780"/>
    <w:rsid w:val="49D5A3F4"/>
    <w:rsid w:val="4E733574"/>
    <w:rsid w:val="4F808A68"/>
    <w:rsid w:val="55A305D0"/>
    <w:rsid w:val="5B38901F"/>
    <w:rsid w:val="5C306237"/>
    <w:rsid w:val="691059AD"/>
    <w:rsid w:val="69A44978"/>
    <w:rsid w:val="771199FB"/>
    <w:rsid w:val="7802AD1E"/>
    <w:rsid w:val="78B2A812"/>
    <w:rsid w:val="7ADD5D84"/>
    <w:rsid w:val="7D7A0EF5"/>
    <w:rsid w:val="7DB0965B"/>
    <w:rsid w:val="7E50E1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E8C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B9F"/>
    <w:rPr>
      <w:sz w:val="22"/>
    </w:rPr>
  </w:style>
  <w:style w:type="paragraph" w:styleId="Heading1">
    <w:name w:val="heading 1"/>
    <w:aliases w:val="Cover title white"/>
    <w:next w:val="Normal"/>
    <w:link w:val="Heading1Char"/>
    <w:semiHidden/>
    <w:qFormat/>
    <w:rsid w:val="00B32510"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2F2009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2F2009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C5BC2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B325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C5BC2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C5BC2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C5BC2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C5BC2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semiHidden/>
    <w:rsid w:val="00290DA3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qFormat/>
    <w:rsid w:val="00482FB6"/>
    <w:pPr>
      <w:numPr>
        <w:numId w:val="7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qFormat/>
    <w:rsid w:val="00482FB6"/>
    <w:pPr>
      <w:numPr>
        <w:ilvl w:val="1"/>
        <w:numId w:val="7"/>
      </w:numPr>
    </w:pPr>
  </w:style>
  <w:style w:type="paragraph" w:customStyle="1" w:styleId="Titlelevel2">
    <w:name w:val="Title level 2"/>
    <w:qFormat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rsid w:val="00CD4AF7"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582AA7"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AA7"/>
    <w:rPr>
      <w:rFonts w:asciiTheme="majorHAnsi" w:eastAsiaTheme="majorEastAsia" w:hAnsiTheme="majorHAnsi" w:cstheme="majorBidi"/>
      <w:b/>
      <w:bCs/>
      <w:i/>
      <w:iCs/>
      <w:color w:val="2F5773" w:themeColor="accent1"/>
      <w:sz w:val="22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290DA3"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AA7"/>
    <w:rPr>
      <w:rFonts w:asciiTheme="majorHAnsi" w:eastAsiaTheme="majorEastAsia" w:hAnsiTheme="majorHAnsi" w:cstheme="majorBidi"/>
      <w:i/>
      <w:iCs/>
      <w:color w:val="172B39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AA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rsid w:val="00813BAC"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8F3908"/>
    <w:pPr>
      <w:numPr>
        <w:numId w:val="5"/>
      </w:numPr>
    </w:pPr>
    <w:rPr>
      <w:sz w:val="22"/>
      <w:szCs w:val="22"/>
    </w:rPr>
  </w:style>
  <w:style w:type="paragraph" w:styleId="Footer">
    <w:name w:val="footer"/>
    <w:basedOn w:val="Normal"/>
    <w:link w:val="FooterChar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basedOn w:val="TableProfessional"/>
    <w:uiPriority w:val="59"/>
    <w:rsid w:val="00A14332"/>
    <w:rPr>
      <w:sz w:val="20"/>
      <w:szCs w:val="20"/>
      <w:lang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7A0054"/>
    <w:pPr>
      <w:numPr>
        <w:numId w:val="6"/>
      </w:numPr>
      <w:spacing w:before="240" w:after="120"/>
      <w:contextualSpacing/>
    </w:pPr>
    <w:rPr>
      <w:sz w:val="22"/>
    </w:rPr>
  </w:style>
  <w:style w:type="paragraph" w:customStyle="1" w:styleId="Titlelevel1">
    <w:name w:val="Title level 1"/>
    <w:autoRedefine/>
    <w:qFormat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rsid w:val="003221EF"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2434B0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qFormat/>
    <w:rsid w:val="00DB5E8F"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582AA7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qFormat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1C5BC2"/>
    <w:pPr>
      <w:numPr>
        <w:numId w:val="2"/>
      </w:numPr>
    </w:pPr>
    <w:rPr>
      <w:szCs w:val="22"/>
    </w:rPr>
  </w:style>
  <w:style w:type="paragraph" w:styleId="TOC1">
    <w:name w:val="toc 1"/>
    <w:autoRedefine/>
    <w:uiPriority w:val="39"/>
    <w:qFormat/>
    <w:rsid w:val="00C47E8F"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rsid w:val="00C41927"/>
    <w:pPr>
      <w:tabs>
        <w:tab w:val="left" w:pos="529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63B0A"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1C5BC2"/>
    <w:pPr>
      <w:numPr>
        <w:numId w:val="1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8F3908"/>
    <w:pPr>
      <w:numPr>
        <w:ilvl w:val="2"/>
        <w:numId w:val="7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172007"/>
  </w:style>
  <w:style w:type="paragraph" w:customStyle="1" w:styleId="Numberedtitlelevel4">
    <w:name w:val="Numbered title level 4"/>
    <w:basedOn w:val="Titlelevel4"/>
    <w:qFormat/>
    <w:rsid w:val="005D4005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2AA7"/>
    <w:rPr>
      <w:sz w:val="22"/>
    </w:rPr>
  </w:style>
  <w:style w:type="paragraph" w:styleId="Title">
    <w:name w:val="Title"/>
    <w:basedOn w:val="Normal"/>
    <w:next w:val="Normal"/>
    <w:link w:val="TitleChar"/>
    <w:qFormat/>
    <w:rsid w:val="004719B4"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rsid w:val="00172007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4719B4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290DA3"/>
    <w:rPr>
      <w:rFonts w:asciiTheme="majorHAnsi" w:eastAsiaTheme="majorEastAsia" w:hAnsiTheme="majorHAnsi" w:cstheme="majorBidi"/>
      <w:color w:val="2F5773" w:themeColor="accent1"/>
      <w:sz w:val="32"/>
      <w:szCs w:val="32"/>
      <w:lang w:val="hr-HR"/>
    </w:rPr>
  </w:style>
  <w:style w:type="character" w:styleId="BookTitle">
    <w:name w:val="Book Title"/>
    <w:basedOn w:val="DefaultParagraphFont"/>
    <w:uiPriority w:val="33"/>
    <w:semiHidden/>
    <w:qFormat/>
    <w:rsid w:val="000D7A44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455E0E"/>
    <w:rPr>
      <w:bCs/>
      <w:lang w:eastAsia="en-GB"/>
    </w:rPr>
  </w:style>
  <w:style w:type="paragraph" w:styleId="ListBullet">
    <w:name w:val="List Bullet"/>
    <w:basedOn w:val="Normal"/>
    <w:semiHidden/>
    <w:qFormat/>
    <w:rsid w:val="00A304D0"/>
    <w:pPr>
      <w:numPr>
        <w:numId w:val="9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rsid w:val="00E22BCE"/>
    <w:pPr>
      <w:numPr>
        <w:numId w:val="8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Default">
    <w:name w:val="Default"/>
    <w:rsid w:val="000C7FD8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semiHidden/>
    <w:qFormat/>
    <w:rsid w:val="00B43E07"/>
    <w:pPr>
      <w:spacing w:before="480"/>
      <w:outlineLvl w:val="9"/>
    </w:pPr>
    <w:rPr>
      <w:caps w:val="0"/>
      <w:color w:val="234156" w:themeColor="accent1" w:themeShade="BF"/>
      <w:sz w:val="28"/>
      <w:szCs w:val="28"/>
    </w:rPr>
  </w:style>
  <w:style w:type="character" w:customStyle="1" w:styleId="Marker">
    <w:name w:val="Marker"/>
    <w:rsid w:val="00B43E07"/>
    <w:rPr>
      <w:color w:val="0000FF"/>
      <w:shd w:val="clear" w:color="auto" w:fill="auto"/>
    </w:rPr>
  </w:style>
  <w:style w:type="character" w:customStyle="1" w:styleId="Marker2">
    <w:name w:val="Marker2"/>
    <w:rsid w:val="00B43E07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B43E07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B43E07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B43E07"/>
    <w:pPr>
      <w:numPr>
        <w:numId w:val="10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B43E07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B43E07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B43E07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B43E07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B43E07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B43E07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B43E07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B43E07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F12DA"/>
    <w:pPr>
      <w:ind w:left="720"/>
    </w:pPr>
    <w:rPr>
      <w:rFonts w:ascii="Calibri" w:eastAsia="Calibri" w:hAnsi="Calibri" w:cs="Times New Roman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E7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1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1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59B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120EF"/>
    <w:pPr>
      <w:spacing w:after="200"/>
    </w:pPr>
    <w:rPr>
      <w:b/>
      <w:bCs/>
      <w:color w:val="2F5773" w:themeColor="accent1"/>
      <w:sz w:val="18"/>
      <w:szCs w:val="18"/>
    </w:rPr>
  </w:style>
  <w:style w:type="paragraph" w:customStyle="1" w:styleId="TableMainHeading">
    <w:name w:val="TableMainHeading"/>
    <w:basedOn w:val="Normal"/>
    <w:next w:val="Normal"/>
    <w:uiPriority w:val="99"/>
    <w:rsid w:val="00810F8E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Note">
    <w:name w:val="TableNote"/>
    <w:basedOn w:val="Normal"/>
    <w:rsid w:val="006F0B70"/>
    <w:pPr>
      <w:spacing w:before="60" w:after="120"/>
      <w:jc w:val="both"/>
    </w:pPr>
    <w:rPr>
      <w:rFonts w:ascii="Segoe UI" w:eastAsia="Times New Roman" w:hAnsi="Segoe UI" w:cs="Times New Roman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31">
    <w:name w:val="CM3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13">
    <w:name w:val="CM1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customStyle="1" w:styleId="CM33">
    <w:name w:val="CM3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styleId="Revision">
    <w:name w:val="Revision"/>
    <w:hidden/>
    <w:uiPriority w:val="99"/>
    <w:semiHidden/>
    <w:rsid w:val="0099782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HR/TXT/?uri=OJ:L_202401623" TargetMode="External"/><Relationship Id="rId1" Type="http://schemas.openxmlformats.org/officeDocument/2006/relationships/hyperlink" Target="https://eur-lex.europa.eu/legal-content/EN/AUTO/?uri=OJ:L:2013:176:TOC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D446E6-4F42-47C6-9BD9-B90F13FB7E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96053A-C462-4780-A79D-39228D5D0A17}"/>
</file>

<file path=customXml/itemProps3.xml><?xml version="1.0" encoding="utf-8"?>
<ds:datastoreItem xmlns:ds="http://schemas.openxmlformats.org/officeDocument/2006/customXml" ds:itemID="{07A64744-72A7-4093-8E72-6412295383E1}"/>
</file>

<file path=customXml/itemProps4.xml><?xml version="1.0" encoding="utf-8"?>
<ds:datastoreItem xmlns:ds="http://schemas.openxmlformats.org/officeDocument/2006/customXml" ds:itemID="{6E640406-F4CA-48FD-931C-EE460BD0A5F9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1426</Words>
  <Characters>8029</Characters>
  <Application>Microsoft Office Word</Application>
  <DocSecurity>0</DocSecurity>
  <Lines>250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2024-06-07T08:09:00Z</dcterms:created>
  <dcterms:modified xsi:type="dcterms:W3CDTF">2024-10-16T14:45:00Z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2024-09-26T14:34:40Z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363807a0-c3df-4606-871c-e720967e40f1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